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C-5458/2012 vom 23. Oktober 2013</w:t>
      </w:r>
    </w:p>
    <w:p>
      <w:r>
        <w:t>Bundesverwaltungsgericht, 2013-10-23, FR</w:t>
      </w:r>
    </w:p>
    <w:p>
      <w:r>
        <w:rPr>
          <w:b/>
        </w:rPr>
        <w:t xml:space="preserve">Quelle: </w:t>
      </w:r>
      <w:r>
        <w:t>https://mcp.opencaselaw.ch/entscheid/bvger_C-5458_2012</w:t>
      </w:r>
    </w:p>
    <w:p>
      <w:r>
        <w:t>FR: TAF C-5458/2012 du 23 octobre 2013</w:t>
      </w:r>
    </w:p>
    <w:p>
      <w:r>
        <w:t>IT: TAF C-5458/2012 del 23 ottobre 2013</w:t>
      </w:r>
    </w:p>
    <w:p>
      <w:pPr>
        <w:pStyle w:val="Heading2"/>
      </w:pPr>
      <w:r>
        <w:t>Regeste</w:t>
      </w:r>
    </w:p>
    <w:p>
      <w:r>
        <w:t>Interdiction d'entrée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2012/21 consid. 5.1). 3.1 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règlement modifié en dernier lieu par le règlement (UE) n° 610/2013, JO L 182 du 29 juin 2013, p. 1]. L'art. 5 par. 1 du code frontières Schengen, dont le contenu coïncide largement avec celui de l'art. 5 al. 1 LEtr précité (cf. à ce propos Philipp Egli/Tobias 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durée de validité supérieure d'au moins trois mois à la date à laquelle le demandeur à prévu de quitter le territoire des Etats membres, sous réserve de dérogations en cas d'urgence dûment justifiée et il a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Etas membres. 3.2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w:t>
      </w:r>
    </w:p>
    <w:p>
      <w:r>
        <w:t>L'interdiction d'entrée, qui permet d'empêcher l'entrée ou le retour en Suisse (et dans l'Espace Schengen; cf. arrêt du Tribunal administratif fédéral C-6528/2008 du 14 mai 2009 consid. 4)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 5.1 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5.2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arrêts du Tribunal administratif fédéral C-6801/2010 du 1er avril 2011 consid. 4 et C-1667/2010 du 21 mars 2011 consid. 3.3). 5.3.1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5.3.2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5.3.3 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arrêts du Tribunal administratif fédéral C-1279/2011 du 18 septembre 2012 consid. 5.3.3). 5.4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 6.1 En l'occurrence, l'ODM a prononcé à l'encontre de A._______ le 14 août 2012 une décision d'interdiction d'entrée en Suisse d'une durée de deux ans, dont les effets s'étendent donc jusqu'au 13 août 2014, au motif que l'intéressée avait sérieusement porté atteinte à la sécurité et à l'ordre publics en séjournant illégalement dans l'Espace Schengen durant plus de trente jours après l'expiration de la durée de son séjour non soumis à autorisation. 6.2 En vertu des normes en vigueur fixant la liste des pays tiers dont les ressortissants sont soumis à l'obligation de visa pour franchir les frontières extérieures des Etats membres et la liste de ceux dont les ressortissants sont exemptés de cette obligation, qui constituent un développement des dispositions de l'acquis de Schengen au sens de l'accord entre l'Union européenne, la Communauté européenne et la Confédération suisse sur l'association de la Confédération suisse à la mise en oeuvre, à l'application et au développement de l'acquis de Schengen, les ressortissants israéliens sont exemptés de l'obligation de visa pour entrer sur le territoire des États membres pour des séjours ne dépassant pas trois mois par période de six mois (cf., sur cette problématique, le site internet de l'ODM: www.bfm.admin.ch Documentation Bases légales Directives et circulaires VII. Visas Séjour jusqu'à 90 jours Annexes du Manuel des visas I Annexe 1, liste 1B Israël; version du 2 septembre 2013; site consulté en octobre 2013). Les ressortissants israéliens peuvent donc séjourner dans l'Espace Schengen sans être soumis à l'obligation de visa pendant une durée maximale de nonante jours au cours d'une période de six mois à compter de la date de leur première entrée. 6.3 En l'occurrence, il convient de relever préliminairement que A._______ a spontanément déclaré lors de son interpellation à l'aéroport de Genève le 2 mars 2012 avoir déjà résidé en cette ville par le passé, soit de 2004 à 2010, "pour prendre soin" de sa mère (cf. formulaire "droit d'être entendu" du 2 mars 2012). Sur ce point, elle explique dans son pourvoi qu'elle est arrivée en Suisse (en 2004), à la demande de la communauté israélite de Genève, dans le but de venir en aide à sa mère âgée et malade. Elle ajoute n'avoir jamais sollicité l'aide financière des services sociaux durant son séjour en Suisse (cf. mémoire de recours, pp. 7 et 8). Le Tribunal de céans constate que l'ODM n'a toutefois pas retenu le séjour illégal effectué par la recourante de 2004 à 2010 pour fonder sa décision d'interdiction d'entrée rendue le 14 août 2012 (cf. préavis du 14 décembre 2012). Cela étant, il appert du rapport d'appréhension des gardes-frontières de l'aéroport de Genève du 2 mars 2012 (cf. p. 6) que A._______ est entrée en Suisse le 9 janvier 2011, selon le timbre figurant dans son document de voyage. Le séjour autorisé de nonante jours non soumis à l'obligation d'un visa Schengen ayant ainsi pris fin le 9 avril 2011, il s'ensuit que la prénommée a résidé de manière illégale en Suisse du 10 avril 2011 au 2 mars 2012, soit pendant plus de dix mois. 6.4 La recourante ne conteste pas les éléments mis en évidence dans ledit rapport, mais soutient qu'elle ne peut se voir reprocher aucun comportement répréhensible qui ait attenté ou pu mettre en danger la sécurité et l'ordre publics (cf. mémoire de recours, p. 8). A cet égard, il sied de rappeler (cf. consid. 5.3.2 supra) qu'aux termes de l'art. 80 al. 1 let. a OASA, il y a notamment atteinte à la sécurité et à l'ordre publics en cas de violation de prescriptions légales ou de décisions d'autorités. Or, comme cela a été évoqué ci-avant et tel que cela est précisément le cas en l'espèce, le seul fait de séjourner illégalement en Suisse constitue bien une violation des prescriptions légales. En tout état de cause, même dans l'hypothèse où la recourante n'aurait pas eu l'intention de commettre sciemment une infraction à la loi, il n'en demeure pas moins qu'elle ne pouvait pas manquer de savoir que la durée d'un séjour dans l'Espace Schengen n'était pas illimitée et qu'il lui appartenait de s'informer et de respecter les normes en la matière. C'est le lieu de noter ici que la négligence ou l'absence de volonté délictuelle ne constitue en aucun cas un motif de renonciation au prononcé d'une mesure d'éloignement (cf. à ce sujet, parmi d'autres, l'arrêt du Tribunal administratif fédéral C-6017/2010 du 19 avril 2011 consid. 6.1 et jurispr. cit.). 6.5 Compte tenu de ce qui précède, force est d'admettre que l'interdiction d'entrée prononcée le 14 août 2012 en application de l'art. 67 al. 2 let. a LEtr est parfaitement justifiée dans son principe, A._______ ayant bien attenté à la sécurité et à l'ordre publics en raison de son séjour illégal dans l'Espace Schengen.</w:t>
      </w:r>
    </w:p>
    <w:p>
      <w:r>
        <w:rPr>
          <w:b/>
        </w:rPr>
        <w:t>E. 7</w:t>
      </w:r>
    </w:p>
    <w:p>
      <w:r>
        <w:t>Il convient encore d'examiner si la mesure d'éloignement prise par l'ODM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André Grisel, Traité de droit administratif, Neuchâtel 1984, vol. I, p. 339ss, 348ss, 358ss et 364ss ; Blaise Knapp, Précis de droit administratif, Bâle/Francfort-sur-le-Main 1991, p. 103ss, 113ss et 124ss; cf. consid. 5.4 supra et la doctrine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la jurispr. cit.; cf. également la doctrine citée ci-dessus).</w:t>
      </w:r>
    </w:p>
    <w:p>
      <w:r>
        <w:rPr>
          <w:b/>
        </w:rPr>
        <w:t>E. 7.2</w:t>
      </w:r>
    </w:p>
    <w:p>
      <w:r>
        <w:t>En l'espèce, il appert que le motif retenu à l'appui de la mesure d'éloignement prise à l'endroit de A._______ (séjour illégal) ne saurait être contestée et que l'infraction aux prescriptions de police des étrangers doit être qualifiée de grave au sens indiqué plus haut (cf. consid. 5.3.3). Or, compte tenu du nombre élevé de contraventions commises dans ce domaine, les autorités sont contraintes d'intervenir avec sévérité afin d'assurer la stricte application des prescriptions édictées en la matière. Dans la mesure où il apparaît que la recourante ne peut plus se prévaloir d'attaches familiales avec la Suisse depuis le décès de sa mère en 2010 et où il n'est pas fait état dans le recours d'autres liens personnels avec ce pays, l'intérêt personnel de A._______ à revenir en Suisse, respectivement dans l'Espace Schengen, n'apparaît pas prépondérant par rapport à l'intérêt public à son éloignement. Tenant compte de l'ensemble des éléments objectifs et subjectifs de la cause, le Tribunal considère que l'interdiction d'entrée en Suisse prise par l'autorité inférieure le 14 août 2012 est une mesure nécessaire et adéquate afin de prévenir toute nouvelle atteinte à la sécurité et à l'ordre publics en Suisse et dans l'Espace Schengen. La durée de cette mesure - deux ans - fondée sur un séjour illégal s'étant étalé sur plus de dix mois après l'expiration de la durée du séjour non soumis à autorisation dans l'Espace Schengen, tient suffisamment compte de l'intérêt privé de la recourante et, partant, respecte le principe de proportionnalité. A cet égard, le fait que l'interdiction d'entrée n'ait commencé à déployer ses effets qu'au moment de son prononcé, sans tenir compte du laps de temps s'étant écoulé du 2 mars au 14 août 2012, soit entre le moment de la constatation de l'infraction et la prise de la décision, n'est point susceptible de remettre en cause la durée de cette mesure. Pour le surplus, il suffit de renvoyer la recourante, sur ce dernier point, à la prise de position de l'ODM du 14 décembre 2012 (cf. p. 2). Enfin, considérant les décisions prises par les autorités dans des cas analogues, force est de constater que la mesure querellée n'est pas contraire au principe d'égalité de traitement. Il convient par conséquent de confirmer la décision de l'autorité de première instance sur ce point. 8.En raison de l'inscription de l'interdiction d'entrée dans le SIS ordonnée par l'ODM (cf. let. B ci-dessus), il est interdit à la recourante - ressortissante d'Israël et donc d'un pays tiers au sens de l'art. 3 let. d du règlement SIS II - de pénétrer dans l'Espace Schengen. Dans le champ d'application des règles relatives aux accords d'association à Schengen, la Suisse se doit en effet de préserver les intérêts de tous les Etats parties (cf. ATAF 2011/48 consid. 6.1), étant rappelé toutefois qu'un tel signalement n'empêche pas les Etats membres d'autoriser l'entrée sur leur territoire national d'une personne signalée, pour des motifs sérieux, voire de lui délivrer un visa à validité territoriale limitée (cf. supra consid. 5.2 in fine). 8.1 Il y a encore lieu d'examiner si le signalement de A._______ aux fins de non-admission dans le SIS est conforme à la réglementation relative au SIS de deuxième génération entrée en vigueur le 9 avril 2013, soit postérieurement au prononcé de la décision de l'ODM le 14 août 2012, et justifié par les circonstances du cas d'espèce (cf. art. 21 en relation avec l'art. 24 du règlement SIS II). Selon la règlementation applicable en la matière, il appartient à l'Etat membre signalant, avant d'introduire un tel signalement, de vérifier si les conditions auxquelles sont soumis les signalements introduits aux fins de non-admission ou d'interdiction de séjour sont réalisées ou non, conformément à l'art. 24 du règlement SIS II mentionnée ci-dessous, et, si tel est le cas, d'examiner si le cas est suffisamment approprié, pertinent et important pour justifier l'introduction du signalement dans le SIS II (cf. art. 21 du règlement SIS II). La teneur de l'art. 24 du règlement SIS II est la suivante: 1. Les données relatives aux ressortissants de pays tiers faisant l'objet d'un signalement aux fins de non-admission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2. Un signalement est introduit lorsque la décision visée au paragraphe 1 est fondée sur la menace pour l'ordre public ou la sécurité publique ou pour la sécurité nationale que peut constituer la présence d'un ressortissant d'un pays tiers sur le territoire d'un Etat membre. Tel peut être notamment le cas: a) d'un ressortissant d'un pays tiers qui a été condamné dans un Etat membre pour une infraction passible d'une peine privative de liberté d'au moins un an; b) d'un ressortissant d'un pays tiers à l'égard duquel il existe des raisons sérieuses de croire qu'il a commis un fait punissable grave, ou à l'égard duquel il existe des indices réels qu'il envisage de commettre un tel fait sur le territoire d'un Etat membre. 3. Un signalement peut également être introduit lorsque la décision visée au paragraphe 1 est fondée sur le fait que le ressortissant d'un pays tiers a fait l'objet d'une mesure d'éloignement, de renvoi ou d'expulsion (cf., sur la terminologie de ces notions, les versions allemande ["ausgewiesen, zurückgewiesen oder abgeschoben") et anglaise ["measure involving expulsion, refusal of entry or removal"] qui sont plus explicites) qui n'a pas été abrogée ni suspendue, et qui comporte ou est assortie d'une interdiction d'entrée, ou, le cas échéant, de séjour, fondée sur le non-respect des réglementations nationales relatives à l'entrée ou au séjour des ressortissants de pays tiers. 8.2 Dans le cas d'espèce, l'ODM a prononcé une décision interdiction d'entrée à l'encontre de A._______ le 14 août 2012 parce que celle-ci avait séjourné illégalement dans l'Espace Schengen durant plus de dix mois après l'expiration de la durée de son séjour non soumis à autorisation (cf. ch. 6.1 supra). Il n'appert cependant pas du dossier que la prénommée, du fait de ce séjour illégal, ait également été l'objet de la part des autorités compétentes d'une décision de renvoi, au sens de l'art. 64 al. 1 let. a LEtr, ou d'une sanction pénale au sens de l'art. 115 al. 1 let. b LEtr. Il ressort bien plutôt du rapport établi par l'Administration fédérale des douanes en date du 2 mars 2012 que l'intéressée, après avoir été informée dans le cadre du droit d'être entendu du fait que son comportement pourrait donner lieu à des mesures d'éloignement (renvoi/interdiction d'entrée), a été autorisée à poursuivre son voyage et à quitter librement le territoire suisse. Certes, la teneur de l'art. 24 paragraphes 2 et 3 du règlement SIS II indique que les motifs mentionnés ne sont pas exhaustifs. A ce propos, il convient de constater que l'autorité inférieure, qui a pourtant été expressément invitée par le Tribunal à se prononcer sur cette question (cf. ordonnance du 29 juillet 2013), s'est limitée dans ses déterminations du 16 août 2013 à se référer aux motifs déjà invoqués pour justifier le maintien de l'inscription de la recourante aux fin de non-admission dans le système SIS. C'est le lieu de relever ici que l'ODM a renoncé à prendre en considération dans son appréciation du cas le séjour effectué illégalement en Suisse par la recourante entre 2004 et 2010 (cf. déterminations des 14 décembre 2012 et 16 août 2013). Cela étant, le seul prononcé pour les motifs retenus d'une mesure d'interdiction d'entrée à l'égard de la recourante postérieurement à son interpellation à l'aéroport de Genève le 2 mars 2012, sans que l'intéressée ne fasse l'objet d'une mesure de renvoi, ne justifie pas déjà en soi que son signalement soit introduit dans le système d'information Schengen aux fins de non admission ou d'interdiction de séjour. Il faut encore que ce signalement soit conforme au principe de la proportionnalité (cf. art. 21 du règlement SIS II). Or, une appréciation d'ensemble des circonstances de l'espèce conduit en l'occurrence à considérer que le maintien de ce signalement ne serait pas conforme à ce principe, compte tenu notamment de l'intérêt de la recourante à pouvoir se déplacer dans l'Espace Schengen (hors la Suisse et le Liechtenstein) et de la relative gravité des faits retenus à l'encontre de sa personne (cf. consid. 8.1 ci-dessus). Il suit de là que le signalement de A._______ dans ledit système ne saurait être maintenu et doit être supprimé par l'autorité inférieure.</w:t>
      </w:r>
    </w:p>
    <w:p>
      <w:r>
        <w:rPr>
          <w:b/>
        </w:rPr>
        <w:t>E. 9</w:t>
      </w:r>
    </w:p>
    <w:p>
      <w:r>
        <w:t>Au vu des considérants qui précèdent, le recours est admis partiellement et la décision du 14 août 2012 annulée en tant qu'elle a pour objet le signalement précité. Par contre, le recours doit être rejeté en tant qu'il est dirigé contre la décision prononçant l'interdiction d'entrée de A._______ pour une durée de deux ans, dite décision étant sur ce point conforme au droit. Obtenant partiellement gain de cause, la recourante a droit à des dépens réduits (art. 64 al. 1 PA en relation avec l'art. 7 du règlement du 21 février 2008 concernant les frais, dépens et indemnités fixés par le Tribunal administratif fédéral [FITAF, RS 173.320.2]). Au vu du travail accompli par le mandataire (cf. écriture du 4 septembre 2013), le Tribunal estime, au regard des art. 8ss FITAF, que le versement d'un montant de 400 francs à titre de dépens réduits apparaît comme équitable en la présente cause. Cela étant, des frais de procédure réduits doivent être mis à la charge de la recourante (cf. art. 63 al. 1 PA en relation avec les art. 1 à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