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C-5458/2010 vom 3. November 2011</w:t>
      </w:r>
    </w:p>
    <w:p>
      <w:r>
        <w:t>Bundesverwaltungsgericht, 2011-11-03, DE</w:t>
      </w:r>
    </w:p>
    <w:p>
      <w:r>
        <w:rPr>
          <w:b/>
        </w:rPr>
        <w:t xml:space="preserve">Quelle: </w:t>
      </w:r>
      <w:r>
        <w:t>https://mcp.opencaselaw.ch/entscheid/bvger_C-5458_2010</w:t>
      </w:r>
    </w:p>
    <w:p>
      <w:r>
        <w:t>FR: TAF C-5458/2010 du 3 novembre 2011</w:t>
      </w:r>
    </w:p>
    <w:p>
      <w:r>
        <w:t>IT: TAF C-5458/2010 del 3 novembre 2011</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somit einzutreten (Art. 49 ff. VwVG).</w:t>
      </w:r>
    </w:p>
    <w:p>
      <w:r>
        <w:rPr>
          <w:b/>
        </w:rPr>
        <w:t>E. 1.4</w:t>
      </w:r>
    </w:p>
    <w:p>
      <w:r>
        <w:t>Das Bundesverwaltungsgericht entscheidet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In formeller Hinsicht rügt der Beschwerdeführer, ihm sei keine Möglichkeit geboten worden, zu einer allfälligen Fernhaltemassnahme Stellung zu nehmen. Auch sei die Begründung der angefochtenen Verfügung ungenügend. Wie bereits in der Zwischenverfügung vom 20. August 2010 erwogen und festgestellt, erhielt der Beschwerdeführer am 14. Mai 2010 im Rahmen der polizeilichen Befragung Gelegenheit zur Stellungnahme, was er mit seiner Unterschrift bestätigte und worauf er sich behaften lassen muss.</w:t>
      </w:r>
    </w:p>
    <w:p>
      <w:r>
        <w:rPr>
          <w:b/>
        </w:rPr>
        <w:t>E. 3.2</w:t>
      </w:r>
    </w:p>
    <w:p>
      <w:r>
        <w:t>Der in Art. 29 Abs. 2 BV garantierte und in Art. 29 ff. VwVG für das Bundesverwaltungsverfahren konkretisierte Grundsatz des rechtlichen Gehörs umfasst unter anderem die Pflicht der Behörde, ihre Verfügung zu begründen (vgl. Art. 35 Abs. 1 VwVG, sowie BVGE 2007/21 E. 10.2 mit Hinweisen). Die Begründungspflicht der Behörden soll verhindern, dass diese sich von unsachlichen Motiven leiten lassen. Die Begründung muss - wie vom Beschwerdeführer richtig festgestellt - so abgefasst sein, dass der Betroffene die Verfügung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entgegen der Behauptungen des Beschwerdeführers indessen nicht, dass sie sich ausdrücklich mit jeder tatbeständlichen Behauptung und jedem rechtlichen Einwand auseinandersetzen müsste. Vielmehr kann sie sich auf die für den Entscheid wesentlichen Gesichtspunkte beschränken (BGE 136 I 184 E. 2.2.1 S. 188 mit weiteren Hinweisen; vgl. auch BVGE 2010/35 E. 4.1.2 mit Hinweisen, sowie Lorenz Kneubühler, in: Christoph Auer/Markus Müller/Benjamin Schindler [Hrsg.], Kommentar zum Bundesgesetz über das Verwaltungsverfahren [VwVG], Zürich/St. Gallen 2008, Rz. 4 ff. und insb. 9 ff. zu Art. 35 VwVG).</w:t>
      </w:r>
    </w:p>
    <w:p>
      <w:r>
        <w:rPr>
          <w:b/>
        </w:rPr>
        <w:t>E. 3.3</w:t>
      </w:r>
    </w:p>
    <w:p>
      <w:r>
        <w:t>Die Begründung der angefochtenen Verfügung ist zwar knapp ausgefallen. Es geht daraus aber ohne Weiteres hervor, aus welchem Grund die Vorinstanz ein Einreiseverbot für angezeigt erachtete. Hinzu kommt der Verweis auf die zur Anwendung gelangende Rechtsgrundlage. Der Beschwerdeführer wusste genau, auf welchen Zeitraum sich der illegale Aufenthalt bezog. Am 14. Mai 2010 gab er nämlich anlässlich der Befragung durch die Kantonspolizei Zürich explizit zu Protokoll, es sei ihm bewusst gewesen, dass er sich zu lange im Schengenraum aufgehalten habe. Der Beschwerdeführer war - wie die Beschwerdeschrift zeigt - durchaus in der Lage, die Verfügung sachgerecht anzufechten. Insoweit liegt, wie bereits mit Zwischenverfügung vom 20. August 2010 festgestellt, keine Verletzung des rechtlichen Gehörsanspruchs vor (vgl. dazu auch Urteil des Bundesverwaltungsgerichts C-785/2010 vom 9. Dezember 2010 E. 4.2).</w:t>
      </w:r>
    </w:p>
    <w:p>
      <w:r>
        <w:rPr>
          <w:b/>
        </w:rPr>
        <w:t>E. 4</w:t>
      </w:r>
    </w:p>
    <w:p>
      <w:r>
        <w:t>Wird gegen eine Person, welche nicht Angehörige eines Staates ist, der durch eines der Schengen-Assozierungsabkommen gebunden ist (vgl. Anhang 1 Ziffer 1 AuG),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5.1</w:t>
      </w:r>
    </w:p>
    <w:p>
      <w:r>
        <w:t>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in der vorliegenden Konstellation mit den obgenannten Grundsätzen vereinbar (vgl. BBl 2009 8896 ad Art 67 Abs. 3 AuG in fine sowie erwähntes Urteil des Bundesverwaltungsgerichts C-2482/2009 E. 6. 2 in fine).</w:t>
      </w:r>
    </w:p>
    <w:p>
      <w:r>
        <w:rPr>
          <w:b/>
        </w:rPr>
        <w:t>E. 5.2</w:t>
      </w:r>
    </w:p>
    <w:p>
      <w:r>
        <w:t>Die öffentliche Sicherheit und Ordnung im Sinne von Art. 67 Abs. 2 Bst. a AuG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 Somit kann - entgegen der Auffassung des Beschwerdeführers - eine Zuwiderhandlung gegen ausländerrechtliche Bestimmungen, als Teil der objektiven Rechtsordnung, ein Einreiseverbot nach sich ziehen, jedoch nicht als Sanktion für vergangenes Fehlverhalten, sondern als Massnahme zur Abwendung künftiger Störungen der öffentlichen Sicherheit und Ordnung (vgl. BBl 2002 3813).</w:t>
      </w:r>
    </w:p>
    <w:p>
      <w:r>
        <w:rPr>
          <w:b/>
        </w:rPr>
        <w:t>E. 5.3</w:t>
      </w:r>
    </w:p>
    <w:p>
      <w:r>
        <w:t>In Bezug auf die Verfehlungen, derentwegen der Beschwerdeführer straf- und ausländerrechtlich belangt wurde, gilt zudem allgemein, dass für die Verhängung eines Einreiseverbots kein vorsätzlicher Verstoss gegen ausländerrechtliche Bestimmungen erforderlich ist.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den zuständigen Stellen zu informieren (vgl. Urteil des Bundesverwaltungsgerichts C-4639/2010 vom 15. Februar 2011 E. 5.3. mit Hinweis).</w:t>
      </w:r>
    </w:p>
    <w:p>
      <w:r>
        <w:rPr>
          <w:b/>
        </w:rPr>
        <w:t>E. 6.1</w:t>
      </w:r>
    </w:p>
    <w:p>
      <w:r>
        <w:t>Mit Strafverfügung vom 8. Juni 2010 wurde der Beschwerdeführer wegen Verstosses gegen ausländerrechtliche Bestimmungen zu einer Busse von Fr. 400.- verurteilt. Diese Verfügung wuchs unangefochten in Rechtskraft. Diese Verurteilung belegt, dass der Beschwerdeführer in offensichtlicher Weise gegen die öffentliche Sicherheit und Ordnung in der Schweiz gemäss Art. 67 Abs. 2 Bst. a AuG verstossen und folglich auch die objektive Rechtsordnung in grober Weise verletzt hat. Sein Verschulden wiegt nicht leicht. Obwohl die ausgesprochene Strafe nicht hoch ist, stellt die subjektive Seite, der bewusste Verstoss gegen die geltende Ordnung eine erschwerende Komponente dar. Der Beschwerdeführer gibt in seiner Beschwerde an, in der Vergangenheit immer im Genuss eines gültigen Visums C gewesen zu sein und nie Probleme gemacht zu haben. Dem ist nicht zu widersprechen, doch sollte ihm gerade deshalb die Bedeutung der Respektierung der im gesamten Schengenraum geltenden Regelung bewusst gewesen sein. Insbesondere in solchen Situationen darf davon ausgegangen werden, dass sich die betreffende Person rechtskonform verhält, weshalb auch dieses Element erschwerend zu werten ist. Insgesamt hat er mit seinem Verhalten gegen Art. 67 Abs. 2 Bst. a AuG (Art. 67 Abs. 1 Bst. a AuG der damaligen Fassung) verstossen und die Voraussetzung für die Verhängung der Fernhaltemassnahme geschaffen. Weiter ist festzuhalten, dass der Beschwerdeführer auch mit seinem ersten, am 24. Januar 2010 gebuchten Flugticket vom 15. April 2010 nicht fristgerecht hätte ausreisen können, denn die 90 Tage bewilligten Aufenthaltes endeten bereits am 14. Februar 2010. Womit alle auf Beschwerdeebene vorgebrachten Rechtfertigungsgründe für den illegalen Aufenthalt ins Leere zielen.</w:t>
      </w:r>
    </w:p>
    <w:p>
      <w:r>
        <w:rPr>
          <w:b/>
        </w:rPr>
        <w:t>E. 7.1</w:t>
      </w:r>
    </w:p>
    <w:p>
      <w:r>
        <w:t>Es bleibt zu prüfen, ob die angeordnete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 St. Gallen 2006, Rz. 613 ff.).</w:t>
      </w:r>
    </w:p>
    <w:p>
      <w:r>
        <w:rPr>
          <w:b/>
        </w:rPr>
        <w:t>E. 7.2</w:t>
      </w:r>
    </w:p>
    <w:p>
      <w:r>
        <w:t>Das Fehlverhalten des Beschwerdeführers wiegt objektiv nicht leicht. Es beinhaltet die Missachtung ausländerrechtlicher Normen, denen im Interesse einer funktionierenden Rechtsordnung eine zentrale Bedeutung zukommt. Insbesondere was die subjektive Seite anbelangt, ist das Verhalten des Beschwerdeführers nicht eben rühmlich. Er hat sich wissentlich und willentlich über die einschlägigen ausländerrechtlichen Normen hinweggesetzt, was gerade die Buchung des ersten Rückfluges zeigt. Das Interesse an der Respektierung der geltenden Ordnung ist als gewichtig einzustufen.</w:t>
      </w:r>
    </w:p>
    <w:p>
      <w:r>
        <w:rPr>
          <w:b/>
        </w:rPr>
        <w:t>E. 7.3</w:t>
      </w:r>
    </w:p>
    <w:p>
      <w:r>
        <w:t>Demgegenüber macht der Beschwerdeführer ein Interesse geltend, sich zu geschäftlichen Zwecken frei im Schengenraum bewegen zu können. Es ist der Beschwerde jedoch nicht zu entnehmen, weshalb er zwingend darauf angewiesen sein sollte. Aus dieser fehlenden Begründung ist zu schliessen, dass es ihm zumutbar sein dürfte, seinen Verpflichtungen auch ausserhalb des Schengenraumes nachzukommen. Weiter weist er auf seine in der Tschechischen Republik lebende Ehefrau hin. Dieser Sachverhalt verdeutlicht, dass die Eheleute keinen gemeinsamen Haushalt führen, sie sogar in unterschiedlichen Nationen leben. Offensichtlich beschränkt sich das gemeinsame Leben auf gegenseitige Besuche. Es sind keine Gründe ersichtlich, weshalb die Eheleute ihre Kontakte nicht auf andere Weise pflegen könnten, als durch Besuche des Beschwerdeführers bei seiner Ehefrau. Nach den gesamten Umständen ist es dem Beschwerdeführer zuzumuten, die gemeinsame Zeit mit seiner Ehefrau ausserhalb des Schengenraumes zu verbringen.</w:t>
      </w:r>
    </w:p>
    <w:p>
      <w:r>
        <w:rPr>
          <w:b/>
        </w:rPr>
        <w:t>E. 7.4</w:t>
      </w:r>
    </w:p>
    <w:p>
      <w:r>
        <w:t>Eine wertende Gewichtung der sich entgegenstehenden öffentlichen und privaten Interessen führt zum Ergebnis, dass das auf zwei Jahre befristete Einreiseverbot sowohl vom Grundsatz her als auch in Bezug auf seine Dauer eine verhältnismässige und angemessene Massnahme zum Schutz der öffentlichen Sicherheit und Ordnung darstellt. Sie entspricht auch der Praxis in vergleichbaren Fällen. So hat das Bundesverwaltungsgericht unlängst ein zweijähriges Einreiseverbot für das Überschreiten der bewilligungsfreien Aufenthaltsdauer um etwas mehr als 30 Tage bestätigt (vgl. Urteil des Bundesverwaltungsgericht C- 1667/2010 vom 21. März 2011). Es liegen keine besonderen Gründe vor, die es rechtfertigen würden, in casu von der bisherigen Praxis abzuweichen.</w:t>
      </w:r>
    </w:p>
    <w:p>
      <w:r>
        <w:rPr>
          <w:b/>
        </w:rPr>
        <w:t>E. 8</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9</w:t>
      </w:r>
    </w:p>
    <w:p>
      <w:r>
        <w:t>Dem Ausgang des Verfahrens entsprechend wird der unterliegende Beschwerdeführer kostenpflichtig (Art. 63 Abs. 1 VwVG i.V.m.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