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C-5455/2013 vom 28. Oktober 2014</w:t>
      </w:r>
    </w:p>
    <w:p>
      <w:r>
        <w:t>Bundesverwaltungsgericht, 2014-10-28, DE</w:t>
      </w:r>
    </w:p>
    <w:p>
      <w:r>
        <w:rPr>
          <w:b/>
        </w:rPr>
        <w:t xml:space="preserve">Quelle: </w:t>
      </w:r>
      <w:r>
        <w:t>https://mcp.opencaselaw.ch/entscheid/bvger_C-5455_2013</w:t>
      </w:r>
    </w:p>
    <w:p>
      <w:r>
        <w:t>FR: TAF C-5455/2013 du 28 octobre 2014</w:t>
      </w:r>
    </w:p>
    <w:p>
      <w:r>
        <w:t>IT: TAF C-5455/2013 del 28 ottobre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Das BFM verfügt Einreiseverbote gegenüber weggewiesenen Aus-lände­rinnen und Ausländern, wenn die Wegweisung nach Art. 64d Abs. 2 Bst. a - c AuG (SR 142.20)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C-4898/2012 vom 1. Mai 2014 E. 4.2 m.H).</w:t>
      </w:r>
    </w:p>
    <w:p>
      <w:r>
        <w:rPr>
          <w:b/>
        </w:rPr>
        <w:t>E. 3.3</w:t>
      </w:r>
    </w:p>
    <w:p>
      <w:r>
        <w:t>Einen Verstoss gegen die öffentliche Sicherheit und Ordnung im Sinne von Art. 67 Abs. 2 Bst. a AuG begeht u.a.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 3348/2012 vom 20. März 2014 E. 3.3 m.H.).</w:t>
      </w:r>
    </w:p>
    <w:p>
      <w:r>
        <w:rPr>
          <w:b/>
        </w:rPr>
        <w:t>E. 3.4</w:t>
      </w:r>
    </w:p>
    <w:p>
      <w:r>
        <w:t>Wird gegen eine Person, welche weder die Staatsangehörigkeit eines Mit­gliedstaates der Europäischen Union noch der Europäischen Freihandels­assoziation besitzt, ein Einreiseverbot verhängt, so wird sie nach Massgabe der Bedeutung des Falles im Schengener Informationssys­tem (SIS) zur Einreiseverweigerung ausgeschrieben (vgl. Art. 21 der N-SIS-Verordnung vom 8. März 2013 [SR 362.0] und Art. 24 der Verordnung [EG] Nr. 1987/2006 des Europäischen Parlaments und des Rates vom 20. Dezember 2006 über die Einrichtung, den Betrieb und die Nutzung des Schengener Informationssystems der zweiten Genera­tion [SIS II], ABl. L 381/4 vom 28.12.2006 [nf.: SIS-II-VO]). Damit wird dem Betroffenen grund­sätzlich die Einreise in das Hoheitsgebiet aller Mit­gliedstaaten verbo­ten (vgl. Art. 5 Abs. 1 Bst. d sowie Art. 13 Abs. 1 der Ver­ordnung [EG] Nr. 562/2006 des Europäischen Parlaments und des Ra­tes vom 15. März 2006 über einen Gemeinschaftskodex für das Über­schreiten der Grenze durch Personen [Schengener Grenzkodex], ABl. L 105/1 vom 13.4.2006 [nf.: SGK]). Die Mitgliedstaaten können den Betroffe­nen aus wich­tigen Gründen oder aufgrund internationaler Verpflich­tungen die Ein­reise in das eigene Hoheitsgebiet gestatten bzw.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4.1</w:t>
      </w:r>
    </w:p>
    <w:p>
      <w:r>
        <w:t>Das BFM stützte das Einreiseverbot allgemein auf Art. 67 AuG. Die Beschwerdeführerin habe die Schweiz trotz rechtskräftiger Wegweisung vom 21. März 2011 nicht verlassen und statt dessen im Kanton Genf ein Gesuch um Erteilung einer Arbeitsbewilligung eingereicht. Nach Ablehnung des Gesuchs sei sie trotz erneuter Aufforderung, die Schweiz bis zum 5. August 2013 zu verlassen, nicht ausgereist. Damit beruft sich die Vorinstanz implizit auf den Fernhaltegrund von Art. 67 Abs. 1 Bst. b AuG.</w:t>
      </w:r>
    </w:p>
    <w:p>
      <w:r>
        <w:rPr>
          <w:b/>
        </w:rPr>
        <w:t>E. 4.2</w:t>
      </w:r>
    </w:p>
    <w:p>
      <w:r>
        <w:t>Im vorliegenden Fall ist unbestritten, dass die Beschwerdeführerin rechts­kräftig aus der Schweiz weggewiesen wurde und sie dieser Anord­nung innerhalb der angesetzten Frist keine Folge geleistet hat. Aus diesem Grund ist gestützt auf Art. 67 Abs. 1 Bst. b AuG ein Einreiseverbot auszusprechen.</w:t>
      </w:r>
    </w:p>
    <w:p>
      <w:r>
        <w:rPr>
          <w:b/>
        </w:rPr>
        <w:t>E. 4.3</w:t>
      </w:r>
    </w:p>
    <w:p>
      <w:r>
        <w:t>Die Beschwerdeführerin bestreitet das Vorliegen dieses Fernhaltegrundes nicht. Soweit sie jedoch glaubt, aufgrund eines laufenden Aufenthaltsverfahrens zur Anwesenheit in der Schweiz berechtigt zu sein, geht sie in ihrer Annahme fehl, denn grundsätzlich gilt es, einen Bewilligungsentscheid im Ausland abzuwarten (vgl. Art. 17 AuG). Im Weiteren ist darauf hinzuweisen, dass eine allfällige neue Bewilligung, wie sie von der Beschwerdeführerin wiederholt beantragt wurde und derzeit im Rahmen des Familiennachzugs angestrebt wird, nicht Gegenstand dieses Verfahrens ist. Hierfür ist der Kanton zuständig, wobei das in Kraft stehende Einreiseverbot einer möglichen künftigen Bewilligungserteilung grundsätzlich nicht entgegensteht. Mit einer Heirat und der Bereitschaft eines Kantons zur Aufenthaltsregelung würde ein Wiedererwägungsgrund geschaffen (vgl. BVGE 2013/4 E. 7.4.1 in fine).</w:t>
      </w:r>
    </w:p>
    <w:p>
      <w:r>
        <w:rPr>
          <w:b/>
        </w:rPr>
        <w:t>E. 4.4</w:t>
      </w:r>
    </w:p>
    <w:p>
      <w:r>
        <w:t>Nach dem Gesagten hat die Beschwerdeführerin klarerweise hinreichen­den Anlass für die Verhängung eines Einreiseverbots gegeben.</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Müller/ Uhlmann, Allgemeines Verwaltungsrecht, 6. Aufl., 2010, Rz. 613 ff.).</w:t>
      </w:r>
    </w:p>
    <w:p>
      <w:r>
        <w:rPr>
          <w:b/>
        </w:rPr>
        <w:t>E. 5.2</w:t>
      </w:r>
    </w:p>
    <w:p>
      <w:r>
        <w:t>Die Beschwerdeführerin ist trotz rechtskräftiger Wegweisung und wiederholter Aufforderung nicht ausgereist, weshalb gemäss Art. 67 Abs. 1 AuG zwingend ein Einreiseverbot zu verhängen ist. Das Fehlverhal­ten der Beschwerdeführerin wiegt aber auch in subjektiver Hinsicht nicht leicht. Sie hat die Schweiz trotz behördlich verfügter Wegwei­sung nicht verlassen, hält sich seither im Land auf mit dem Ziel in einem anderen Kanton eine Aufenthaltsberechtigung zu erlangen. Hat sie doch, nachdem ihr im Kanton Genf eine Aufenthaltsbewilligung zu Erwerbszwecken verweigert wurde, zwischenzeitlich im Kanton Waadt ein Ehevorbereitungsverfahren eingeleitet, um gestützt auf die Ehe in den Genuss einer Aufenthaltsbewilligung zu gelangen. Sie hat sich diesbezüglich bewusst über die Rechtsordnung hinweggesetzt und keine Hindernisse gescheut, um das von ihr - um scheinbar jeden Preis - angestrebte Aufenthaltsrecht zu erlangen. Als gewichtig zu betrachten ist vorliegend einerseits das generalpräventiv motivierte Interesse, die öffentliche Ordnung durch eine konsequente Massnahmenpraxis zu schützen. Andererseits liegt eine spezialpräventive Zielsetzung der Fernhaltemassnahme darin, dass sie die Beschwerdeführerin ermahnt, bei einer allfälligen künftigen Wiederein­reise in die Schweiz nach Ablauf der Dauer des Einreiseverbots die für sie geltenden Regeln einzuhalten (vgl. zum ganzen Urteil des BVGer C-1088/2013 vom 23. Oktober 2013 E. 7.2). Denn selbst zum jetzigen Zeitpunkt fehlt ihr offensichtlich der, von jeder in der Schweiz wohnhaften Person erwartete, Respekt vor der hiesigen Rechtsordnung.</w:t>
      </w:r>
    </w:p>
    <w:p>
      <w:r>
        <w:rPr>
          <w:b/>
        </w:rPr>
        <w:t>E. 5.3</w:t>
      </w:r>
    </w:p>
    <w:p>
      <w:r>
        <w:t>An privaten Interessen bringt die Beschwerdeführerin vor, sie habe eine tiefe Bindung zu ihrer in der Schweiz ansässigen Schwester. Eine solche Beziehung lässt sich jedoch ohne weiteres von der Heimat aus, mit geeigneten Kommunikationsmitteln aufrechterhalten. Die Beschwerdeführerin hat nach Ablehnung ihres Gesuchs um eine Arbeitsbewilligung im Januar 2014 ein Ehevorbereitungsverfahren eingeleitet. Ein entsprechendes privates Interesse aufgrund der Beziehung mit dem Schweizer Staatsbürger, den die Beschwerdeführerin gar zu ehelichen beabsichtigt, wurde nicht geltend gemacht. Ohnehin ist für die Prüfung allfälliger Familiennachzugs­gründe der Kanton zuständig, wobei das beste­hende Einreiseverbot, wie bereits festgehalten, einem solchen grundsätzlich nicht entgegenste­hen würde. In diesem Zusammenhang ist allerdings darauf hin­zuweisen, dass der Familiennachzug voraussetzt, dass die Beschwerdeführerin mit dem Schweizer Bürger eine Ehegemeinschaft eingegangen ist (vgl. Art. 43 AuG). Gestützt auf die Akten ist davon aus­zugehen, dass dies derzeit nicht der Fall ist.</w:t>
      </w:r>
    </w:p>
    <w:p>
      <w:r>
        <w:rPr>
          <w:b/>
        </w:rPr>
        <w:t>E. 5.4</w:t>
      </w:r>
    </w:p>
    <w:p>
      <w:r>
        <w:t>Eine wertende Gewichtung der sich entgegenstehenden Interessen führt damit zum Schluss, dass das Einreiseverbot dem Grundsatz und der Dauer nach zu bestätigen ist.</w:t>
      </w:r>
    </w:p>
    <w:p>
      <w:r>
        <w:rPr>
          <w:b/>
        </w:rPr>
        <w:t>E. 6</w:t>
      </w:r>
    </w:p>
    <w:p>
      <w:r>
        <w:t>Aus diesen Erwägungen ergibt sich, dass die angefochtene Verfügung im Lichte von Art. 49 VwVG nicht zu beanstanden ist. Die Beschwerde ist so­mit abzuweisen.</w:t>
      </w:r>
    </w:p>
    <w:p>
      <w:r>
        <w:rPr>
          <w:b/>
        </w:rPr>
        <w:t>E. 7</w:t>
      </w:r>
    </w:p>
    <w:p>
      <w:r>
        <w:t>Bei diesem Ausgang des Verfahrens sind die Kosten der Beschwerde-führerin aufzuerlegen (vgl. Art. 63 Abs. 1 VwVG, Art. 1 ff.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