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C-5446/2013 vom 12. Dezember 2013</w:t>
      </w:r>
    </w:p>
    <w:p>
      <w:r>
        <w:t>Bundesverwaltungsgericht, 2013-12-12, DE</w:t>
      </w:r>
    </w:p>
    <w:p>
      <w:r>
        <w:rPr>
          <w:b/>
        </w:rPr>
        <w:t xml:space="preserve">Quelle: </w:t>
      </w:r>
      <w:r>
        <w:t>https://mcp.opencaselaw.ch/entscheid/bvger_C-5446_2013</w:t>
      </w:r>
    </w:p>
    <w:p>
      <w:r>
        <w:t>FR: TAF C-5446/2013 du 12 décembre 2013</w:t>
      </w:r>
    </w:p>
    <w:p>
      <w:r>
        <w:t>IT: TAF C-5446/2013 del 12 dicembre 2013</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Als Vorinstanzen gelten die in Art. 33 VGG genannten Behörden. Die IVSTA ist eine Behörde im Sinne von Art. 33 Bst. d VGG. Deren Verfügungen sind gemäss Art. 69 Abs. 1 Bst. b des Bundesgesetzes vom 19. Juni 1959 über die Invalidenver­sicherung (IVG, SR 831.20) beim Bundesverwaltungsgericht anfechtbar.</w:t>
      </w:r>
    </w:p>
    <w:p>
      <w:r>
        <w:rPr>
          <w:b/>
        </w:rPr>
        <w:t>E. 1.2</w:t>
      </w:r>
    </w:p>
    <w:p>
      <w:r>
        <w:t>Anfechtungsobjekt im vorliegenden Verfahren ist ein als Verfügung bezeichnetes Schreiben der IVSTA vom 27. August 2013, mit welchem an einer polydisziplinären Abklärung des Beschwerdeführers festgehalten wurde.</w:t>
      </w:r>
    </w:p>
    <w:p>
      <w:r>
        <w:rPr>
          <w:b/>
        </w:rPr>
        <w:t>E. 2.1</w:t>
      </w:r>
    </w:p>
    <w:p>
      <w:r>
        <w:t>Bei der Anordnung eines Gutachtens handelt es sich um eine Zwischenverfügung bzw. einen Zwischenentscheid (Art. 55 Abs. 1 ATSG i.V.m. Art. 5 Abs. 2 und Art. 46 VwVG). Auf eine Beschwerde ist gemäss Art. 46 Abs. 1 VwVG einzutreten, wenn der Zwischenentscheid einen nicht wieder gutzumachenden Nachteil bewirken (Bst. a) oder wenn die Gut­heissung der Beschwerde sofort einen Endentscheid herbeiführen würde (Bst. b). Andernfalls sind Zwischenverfügungen nur mit Beschwerde gegen die Endverfügung anfechtbar.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müssen (vgl. Urteil des Bundesverwaltungsgerichts B-1907/2007 vom 14. Mai 2007 E. 1.1).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3. Auflage, Bern 2009, § 28 N. 83). Der Nachteil muss nicht recht­licher Natur sein; die Beeinträchtigung in schutzwürdigen tatsächlichen, ins­be­sondere auch wirtschaftlichen Interessen genügt, sofern der Be­troffene nicht versucht, nur eine Verlängerung oder Verteuerung des Ver­fahrens zu verhindern (BGE 130 II 148 E. 2.2).</w:t>
      </w:r>
    </w:p>
    <w:p>
      <w:r>
        <w:rPr>
          <w:b/>
        </w:rPr>
        <w:t>E. 2.2</w:t>
      </w:r>
    </w:p>
    <w:p>
      <w:r>
        <w:t>In BGE 138 V 271 stellte das Bundesgericht zusammen­fassend Folgendes fest: Für die Beurteilung des nicht wieder gutzu­machenden Nachteils im Kontext des IV-rechtlichen Abklärungs­ver­fahrens muss berücksichtigt werden, dass das Sachverständigengutachten im Rechtsmittelverfahren mit Blick auf die fachfremde Materie faktisch nur beschränkt überprüfbar ist. Der Rechtsanwender sieht sich mangels ausreichender Fach­kennt­nisse kaum in der Lage, in formal korrekt abgefassten Gutachten objektiv-­fachliche Mängel zu erkennen. Diesem Um­stand ist mit verfahrensrechtlichen Garantien zu begegnen und die Mit­wirkungs­rechte müssen im Beschwerdeverfahren durchsetzbar sein. Ist dies auch durch die Anfechtung des Endentscheids nicht mehr möglich, kann ein nicht wieder gutzumachender Nachteil entstehen, der den Rechtsweg an eine Be­schwerdeinstanz eröffnet. Da systemimmanent kein Anspruch auf Ein­holung eines Gerichtsgutachtens besteht, ist das Administrativ­gutachten häufig zugleich die wichtigste medizinische Entscheidungsgrund­lage im Be­schwerdeverfahren. In solchen Fällen kommen die bei der Beweisein­holung durch ein Gericht vorgesehenen Garantien zugunsten der privaten Partei im gesamten Verfahren nicht zum Tragen. Um dieses Manko wirk­sam auszugleichen, müssen die ge­währleisteten Mitwirkungsrechte durch­setzbar sein, bevor präjudizierende Effekte eintreten. Wegen des begrenzten Überprüfungs­vermögens der rechtsan­wendenden Behörden genügt es daher nicht, die Mit­wirkungsrechte erst nachträglich bei der Beweiswürdigung im Ver­waltungs- und Beschwerde­verfahren einzuräumen. Für die Annahme eines drohenden unumkehr­baren Nachteils spricht schliesslich auch, dass die mit medizinischen Unter­suchungen einhergehenden Be­lastungen zuweilen einen erheb­lichen Eingriff in die persönliche Integrität bedeuten (E. 1.2.2). Aus diesen Gründen hat das Bundes­gericht die Anfechtbarkeitsvoraussetzung des nicht wieder gutzu­machenden Nachteils für das erstinstanzliche Be­schwerdeverfahren in IV-Angelegenheiten bereits in BGE 137 V 210 bejaht, zu­mal die nicht sachgerechte Begutachtung in der Regel einen rechtlichen und nicht nur tatsächlichen Nachteil bewirkt (E. 3.4.2.7 S. 257 m.H.).</w:t>
      </w:r>
    </w:p>
    <w:p>
      <w:r>
        <w:rPr>
          <w:b/>
        </w:rPr>
        <w:t>E. 2.3</w:t>
      </w:r>
    </w:p>
    <w:p>
      <w:r>
        <w:t>Am 1. März 2012 ist der neue Art. 72bis IVV in Kraft getretenen, welcher in Absatz 1 festhält, dass medizinische Gutachten, an denen drei oder mehr Fachdisziplinen beteiligt sind, bei einer Gutachterstelle zu erfolgen haben, mit welcher das Bundesamt eine Vereinbarung getroffen hat und in Absatz 2, dass diese Vergabe nach dem Zufallsprinzip erfolgt (vgl. dazu auch schon BGE 137 V 210, E. 3.1). Gestützt darauf hat das BSV das Zuweisungssystem "SuisseMED@P" etabliert, dem alle Gutachtensinstitute angeschlossen sind, die über eine entsprechende Vereinbarung mit dem Bundesamt für Sozialversicherungen (BSV) ver­fügen.</w:t>
      </w:r>
    </w:p>
    <w:p>
      <w:r>
        <w:rPr>
          <w:b/>
        </w:rPr>
        <w:t>E. 2.4</w:t>
      </w:r>
    </w:p>
    <w:p>
      <w:r>
        <w:t>Ist sodann eine Gutachterstelle nach diesem System benannt, so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(BGE 137 V 210 E. 3.4.2.7). Bleibt ein Konsens aus, so kleidet die IV-Stelle die betreffende Anordnung in die Form einer Verfügung (Art. 49 ATSG), die unter allen erwähnten Gesichtspunkten anfechtbar ist (BGE 137 V 210 E. 3.4.2.6). Mit der verfügungsmässigen Anordnung der Begutachtung (oder auch schon anlässlich der erstmaligen Mitteilung über die benannte Gutachterstelle) unterbreitet die IV-Stelle der versicherten Person im Übrigen den vorgesehenen Katalog der Experten­fragen zur Stellungnahme (BGE 138 V 271 E. 1.1 mit Hinweisen).</w:t>
      </w:r>
    </w:p>
    <w:p>
      <w:r>
        <w:rPr>
          <w:b/>
        </w:rPr>
        <w:t>E. 2.5</w:t>
      </w:r>
    </w:p>
    <w:p>
      <w:r>
        <w:t>Hinsichtlich der Modalitäten der Anordnung einer Expertise führte das Bundesgericht in BGE 137 V 210 weiter aus, dass wenn der Expertenauftrag an eine Gutachterstelle (wie eine MEDAS) geht und die Namen der einzelnen Sachverständigen noch nicht bekannt sind, deren Nennung nicht schon mit der Verfügung der Gutachtensanordnung erfolgen muss (E. 3.4.1.4). Bei einer entsprechenden Staffelung hat aber jedes Mal eine Verfügung zu ergehen, wenn eine Festlegung getroffen wird, welche die Verfahrensrechte der versicherten Person zu berühren geeignet ist (E. 3.4.2.8). Bezüglich der übrigen Rahmenbedingungen führte das Bundesgericht aus, dass mit der verfügungsmässigen Anordnung der Begutachtung sowohl Art und Umfang der Begutachtung festzulegen als auch die Gutachterstelle zu be­zeichnen ist (E. 3.4.1.4 und 3.4.2.6 ff.).</w:t>
      </w:r>
    </w:p>
    <w:p>
      <w:r>
        <w:rPr>
          <w:b/>
        </w:rPr>
        <w:t>E. 3</w:t>
      </w:r>
    </w:p>
    <w:p>
      <w:r>
        <w:t>Nachfolgend zu prüfen ist somit, ob es sich bei der vorliegend ange­fochtenen Verfügung vom 27. August 2013 um eine selb­ständig anfechtbare Zwischenverfügung im Sinne der Rechtsprechung handelt.</w:t>
      </w:r>
    </w:p>
    <w:p>
      <w:r>
        <w:rPr>
          <w:b/>
        </w:rPr>
        <w:t>E. 3.1</w:t>
      </w:r>
    </w:p>
    <w:p>
      <w:r>
        <w:t>In BGE 139 V 339 vom 5. Juni 2013 hat das Bundesgericht seine bisherige Rechtsprechung bestätigt und explizit festgehalten, dass eine Zwischenverfügung, in welcher keine Gutachterstelle benannt wird, sondern lediglich die Bestimmung einer solchen in Anwendung von Art. 72bis IVV durch das Zuweisungssystem "SuisseMED@P" angekündigt wird, weder im erstinstanzlichen Verfahren, noch vor Bundesgericht anfechtbar ist. In einem solchen Fall ist gemäss Bundesgericht auch für das erstinstanzliche Verfahren nicht ersichtlich, worin der Nachteil des Versicherten bestehen sollte, wenn er die Gutachtensanordnung nicht anfechten kann (BGE 139 V 339 E. 4.5).</w:t>
      </w:r>
    </w:p>
    <w:p>
      <w:r>
        <w:rPr>
          <w:b/>
        </w:rPr>
        <w:t>E. 3.2</w:t>
      </w:r>
    </w:p>
    <w:p>
      <w:r>
        <w:t>Da die Vorinstanz im vorliegenden Fall erst verfügt hat, dass sie an einer Begutachtung durch eine MEDAS festhalte und dass die Vergabe mittels MED@P nach dem Zufallsprinzip erfolge, fehlt es in der angefochtenen Verfügung vom 27. August 2013 an der Bezeichnung der Gutachter­stelle bzw. der Sachverständigen sowie an der Festlegung von Art und Umfang der Begutachtung. Dass die Vorinstanz in der angefochtenen Verfügung bereits davon spricht, dass eine MEDAS mit der Abklärung beauftragt wird (und nicht eine Gutachterstelle), vermag daran nichts zu ändern. Denn das BSV verfügt mit fünf sogenannten MEDAS über einen Vertrag nach Art. 72bis IVV, aus denen eine nach dem Zufallsprinzip ausgesucht wird (vgl. dazu https://www.suissemedap.ch/Pages/Medas Map.aspx). Es ist mithin noch keine MEDAS ausgewählt worden und die Gutachterstelle bzw. die Gutachter sind noch nicht bezeichnet. Die angefochtene Verfügung erfüllt somit die von der Recht­sprechung ge­stellten Anforderungen an eine selbständig anfechtbare (Zwischen-)Verfügung betreffend die Einholung von medizinischen Gutachten nicht (vgl. oben E. 2, insbesondere E. 2.5). Ein nicht wieder gutzumachender Nachteil des Beschwerdeführers nach Art. 46 Abs. 1 lit. a VwvG auf­grund der angefochtenen Verfügung ist nicht ersichtlich; er kann die noch zu erlassende verfügungsmässige An­ordnung der Begutachtung, in welcher die begutachtende Stelle bezeichnet werden wird, beim Bundesverwaltungsgericht gegebenenfalls anfechten und die oben umschriebenen Rügen anbringen (vgl. E. 2.4; Urteil des Bundesverwaltungsgerichts C-3077/2012 vom 28. September 2012). In Anbetracht der gegebenen Umstände brauchen die anderweitigen Rügen des Beschwerdeführers nicht geprüft zu werden, ist doch eindeutig auch kein Grund ersichtlich, um auf die eben erst ergangene Rechtsprechung des Bundesgerichts im Sinne eines "anticipatory overrulings" zurückzukommen.</w:t>
      </w:r>
    </w:p>
    <w:p>
      <w:r>
        <w:rPr>
          <w:b/>
        </w:rPr>
        <w:t>E. 3.3</w:t>
      </w:r>
    </w:p>
    <w:p>
      <w:r>
        <w:t>Nach dem Gesagten ist auf die Beschwerde wegen offensichtlicher Unzulässigkeit im einzelrichterlichen Verfahren nicht einzutreten (Art. 23 Abs. 1 Bst. b VGG i.V.m. Art. 46 Abs. 1 VwVG).</w:t>
      </w:r>
    </w:p>
    <w:p>
      <w:r>
        <w:rPr>
          <w:b/>
        </w:rPr>
        <w:t>E. 4</w:t>
      </w:r>
    </w:p>
    <w:p>
      <w:r>
        <w:t>Zu befinden bleibt über die Verfahrenskosten und eine allfällige Partei­entschädigung.</w:t>
      </w:r>
    </w:p>
    <w:p>
      <w:r>
        <w:rPr>
          <w:b/>
        </w:rPr>
        <w:t>E. 4.1</w:t>
      </w:r>
    </w:p>
    <w:p>
      <w:r>
        <w:t>Die Verfahrenskosten werden in der Regel der unterliegenden Partei auferlegt (Art. 63 Abs. 1 VwVG). Die Verfahrenskosten können ganz oder teilweise erlassen werden, wenn - wie vorliegend - Gründe in der Sache oder in der Person der Partei es als unverhältnismässig erscheinen lassen, diese der Partei aufzuerlegen (Art. 6 lit. b des Reglements vom 21. Februar 2008 über die Kosten und Entschädigungen vor dem Bundes­verwaltungsgericht [VGKE, SR 173.320.2]).</w:t>
      </w:r>
    </w:p>
    <w:p>
      <w:r>
        <w:rPr>
          <w:b/>
        </w:rPr>
        <w:t>E. 4.2</w:t>
      </w:r>
    </w:p>
    <w:p>
      <w:r>
        <w:t>Dem unterliegenden Beschwerdeführer ist entsprechend dem Verfahrensausgang keine Parteientschädigung zuzusprechen (Art. 64 VwVG und Art. 7 Abs. 1 VGKE e contrario). Als Bundesbehörde hat die obsiegende Vorinstanz keinen Anspruch auf eine Parteient­schädigung (Art. 7 Abs. 3 VGKE), wobei die Voraussetzungen einer Ausnahme im konkreten Fall nicht erfüllt sind (vgl. BGE 127 V 205).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