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C-543/2021 vom 4. Januar 2021</w:t>
      </w:r>
    </w:p>
    <w:p>
      <w:r>
        <w:t>Bundesverwaltungsgericht, 2021-01-04, FR</w:t>
      </w:r>
    </w:p>
    <w:p>
      <w:r>
        <w:rPr>
          <w:b/>
        </w:rPr>
        <w:t xml:space="preserve">Quelle: </w:t>
      </w:r>
      <w:r>
        <w:t>https://mcp.opencaselaw.ch/entscheid/bvger_C-543_2021_d20210104</w:t>
      </w:r>
    </w:p>
    <w:p>
      <w:r>
        <w:t>FR: TAF C-543/2021 du 4 janvier 2021</w:t>
      </w:r>
    </w:p>
    <w:p>
      <w:r>
        <w:t>IT: TAF C-543/2021 del 4 gennaio 2021</w:t>
      </w:r>
    </w:p>
    <w:p>
      <w:pPr>
        <w:pStyle w:val="Heading2"/>
      </w:pPr>
      <w:r>
        <w:t>Regeste</w:t>
      </w:r>
    </w:p>
    <w:p>
      <w:r>
        <w:t>Droit &amp;agrave; la rente | Assurance-invalidité, rente temporaire (décision du 4 janvier 2021)</w:t>
      </w:r>
    </w:p>
    <w:p>
      <w:pPr>
        <w:pStyle w:val="Heading2"/>
      </w:pPr>
      <w:r>
        <w:t>Erwägungen</w:t>
      </w:r>
    </w:p>
    <w:p>
      <w:r>
        <w:rPr>
          <w:b/>
        </w:rPr>
        <w:t>E. 1.1</w:t>
      </w:r>
    </w:p>
    <w:p>
      <w:r>
        <w:t>La procédure devant le Tribunal administratif fédéral est en principe régie par la PA (art. 37 LTAF), sous réserve des dispositions particulières</w:t>
      </w:r>
    </w:p>
    <w:p>
      <w:r>
        <w:t>C-543/2021 Page 5 de la loi sur la partie générale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la recourante est directement touchée par la décision du 4 janvier 2021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2</w:t>
      </w:r>
    </w:p>
    <w:p>
      <w:r>
        <w:t>Le Tribunal administratif fédéral applique le droit d'office, sans être lié par les motifs invoqués par les parties (art. 62 al. 4 PA), ni par l'argumentation juridique développée dans la décision entreprise. Il se limite en principe aux griefs soulevés et n'examine les questions de droit non invoquées que dans la mesure où les arguments des parties ou le dossier l'y incitent (ATF 122 V 157 consid. 1a; 121 V 204 consid. 6c ; cf. aussi ATAF 2013/46 con- sid. 3.2).</w:t>
      </w:r>
    </w:p>
    <w:p>
      <w:r>
        <w:rPr>
          <w:b/>
        </w:rPr>
        <w:t>E. 3</w:t>
      </w:r>
    </w:p>
    <w:p>
      <w:r>
        <w:t>Le litige porte sur le droit de la recourante à une rente d’invalidité. Singu- lièrement, il s’agit d’examiner si l’autorité inférieure était fondée à lui allouer une rente entière limitée à la période 1er juillet 2018 au 31 août 2018. Con- formément à la jurisprudence portant sur l'état de fait déterminant pour ap- précier la légalité des décisions administratives, il ne sera pas tenu compte dans ce contexte des faits survenus durant la procédure judiciaire, soit en particulier ceux en relation avec le problème auditif apparu chez l‘assurée dans le courant du mois d’octobre 2021 et ayant donné lieu à une consul- tation spécialisée (ATF 144 V 210 consid. 4.3.1; 132 V 215 consid. 3.1.1, 118 V 200 consid. 3a et les références; arrêts du TF 9C_47/2022 du 22 novembre 2022 consid. 5.1.2 et 8C_13/2022 du 29 septembre 2022 con- sid. 3.1.3).</w:t>
      </w:r>
    </w:p>
    <w:p>
      <w:r>
        <w:rPr>
          <w:b/>
        </w:rPr>
        <w:t>E. 4</w:t>
      </w:r>
    </w:p>
    <w:p>
      <w:r>
        <w:t>Dans le cadre du « développement continu de l'AI », la LAI, le RAI et la</w:t>
      </w:r>
    </w:p>
    <w:p>
      <w:r>
        <w:t>C-543/2021 Page 6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 séquences juridiques se sont produits (à cet égard, cf. notamment ATF 144 V 210 consid. 4.3. 1 et les références), le droit applicable en l'espèce de- meure celui qui était en vigueur jusqu'au 31 décembre 2021, dans la me- sure où la décision administrative litigieuse a été rendue avant cette date (arrêt du TF 9C_457/2021 du 13 avril 2022 consid. 4. 1). Les dispositions visées seront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Selon l’art. 29 al. 1 LAI, le droit à la rente prend naissance au plus tôt à l’échéance d’une période de six mois à compter de la date à laquelle l’assuré a fait valoir son droit aux prestations. Suivant l’art. 17 LPGA – applicable par analogie aux rentes dégressives ou limitées dans le temps (entre autres : arrêts du TF 9C_647/2017 du 12 janvier 2018 consid. 3 et 9C_704/2016 du 28 décembre 2016 consid. 2.2</w:t>
      </w:r>
    </w:p>
    <w:p>
      <w:r>
        <w:t>C-543/2021 Page 7 et les références ; cf. ég. ATF 125 V 413 ; sur l'institution de la révision en général, cf. ATF 141 V 9 consid. 2.3 p. 10 s.; 130 V 343 consid. 3.5 p. 349 ss; sur les situations à comparer, cf. ATF 133 V 108 consid. 5 p.110 ss) – la rente est, d'office ou sur demande, révisée pour l'avenir, à savoir aug- mentée ou réduite en conséquence, ou encore supprimée, si le taux d'inva- lidité du bénéficiaire d’une rente subit une modification notable. Aux termes de l’art. 88a al. 1 RAI, l’amélioration de la capacité de gain n’est détermi- nante pour la suppression de tout ou partie du droit aux prestations qu’à partir du moment où on peut s’attendre à ce qu’elle se maintienne durant une assez longue période ; il en va de même lorsqu’un changement déter- minant a duré trois mois déjà, sans interruption notable et sans qu’une in- terruption prochaine soit à craindre.</w:t>
      </w:r>
    </w:p>
    <w:p>
      <w:r>
        <w:rPr>
          <w:b/>
        </w:rPr>
        <w:t>E. 4.2</w:t>
      </w:r>
    </w:p>
    <w:p>
      <w:r>
        <w:t>et 8C_577/2020 du 19 avril 2021 consid. 4.4).</w:t>
      </w:r>
    </w:p>
    <w:p>
      <w:r>
        <w:rPr>
          <w:b/>
        </w:rPr>
        <w:t>E. 4.2.1</w:t>
      </w:r>
    </w:p>
    <w:p>
      <w:r>
        <w:t>Ainsi, le point de départ de l'examen du droit aux prestations est l'en- semble des constatations médicales. Une limitation de la capacité d'exé- cuter une tâche ou une action ne peut fonder le droit à une prestation que si elle est la conséquence d'une atteinte à la santé qui a été diagnostiquée de manière indiscutable par un médecin spécialiste de la discipline concer- née (ATF 143 V 418 consid. 6 et 8.1, 141 V 281 consid. 2.1, 130 V 396 ; arrêt du TF 9C_815/2012 du 12 décembre 2012 consid. 3 ; cf. également art. 59 LAI). S’agissant en particulier des douleurs et compte tenu des difficultés, en matière de preuve, à en établir l'existence, les simples plaintes subjectives d'un assuré ne sauraient suffire pour justifier une invalidité entière ou par- tielle. Dans le cadre de l'examen du droit aux prestations de l'assurance sociale, l'allégation de douleurs doit en effet être confirmée par des obser- vations médicales concluantes, à défaut de quoi une appréciation du droit</w:t>
      </w:r>
    </w:p>
    <w:p>
      <w:r>
        <w:t>C-543/2021 Page 8 aux prestations ne peut être assurée de manière conforme à l'égalité de traitement des assurés (ATF 130 V 352 consid. 2.2.2 ; cf. ég. ATF 141 V 574 consid. 4.1, 141 V 281 consid. 2, 140 V 290 consid. 3.3.1 et 130 V 396 consid. 5.3.2 et arrêts du TF 9C_471/2021 du 10 décembre 2021 consid.</w:t>
      </w:r>
    </w:p>
    <w:p>
      <w:r>
        <w:rPr>
          <w:b/>
        </w:rPr>
        <w:t>E. 4.3</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 tradictoires, il ne peut trancher l'affaire sans indiquer les raisons pour les- quelles il se fonde sur une opinion plutôt qu'une autre. En ce qui concerne la valeur probante d'un rapport médical, ce qui est déterminant, c'est que les points litigieux aient fait l'objet d'une étude circonstanciée, que le rap- port se fonde sur des examens complets, qu'il prenne également en con- sidération les plaintes exprimées par la personne examinée, qu'il ait été établi en pleine connaissance de l'anamnèse, que la description du con- texte médical et l'appréciation de la situation médicale soient claires et en- 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p. 352; 122 V 157 consid. 1c et les références).</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 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que certains faits présentent un degré de vraisemblance pré- pondérante et que d'autres mesures probatoires ne pourraient plus modi- fier cette appréciation (sur l'appréciation anticipée des preuves cf. ATF 131 I 153 consid. 3; 130 II 425 consid. 2).</w:t>
      </w:r>
    </w:p>
    <w:p>
      <w:r>
        <w:rPr>
          <w:b/>
        </w:rPr>
        <w:t>E. 5</w:t>
      </w:r>
    </w:p>
    <w:p>
      <w:r>
        <w:t>Se référant principalement aux conclusions du Dr F._______ et de son ser- vice médical, l’autorité précédente reconnaît que l’assurée présente dès</w:t>
      </w:r>
    </w:p>
    <w:p>
      <w:r>
        <w:t>C-543/2021 Page 9 juin 2017 une incapacité de travail complète dans son activité habituelle d’assistante hôtelière. Dans une activité adaptée aux limitations provo- quées par ses atteintes au membre supérieur gauche et au rachis cervical, elle présente en revanche une capacité résiduelle de travail de 80 % dès juin 2018. Cela étant, elle reste en mesure de réaliser un revenu d’invalide de Fr. 43'839.56 établi sur la base des statistiques (niveau de compétence 1 du tableau TA1_skill_level) résultant de l'Enquête suisse sur la structure des salaires publiée en 2018 par l'Office fédéral de la statistique (ESS ; AI- C._______ pces 77 ss, en particulier pce 82). Comparé au revenu sans invalidité de Fr. 54'530.- fondé sur les renseignements fournis par l’ancien employeur de la recourante (AI-C._______ pce 25), il en résulte une inva- lidité de 19.60 %. En application des art. 29 LAI et 88a RAI, l’octroi d’une rente complète se justifie par conséquent uniquement du 1er juillet au 31 août 2018, soit dès l’échéance d’un délai de six mois à compter du dépôt de la demande au 18 janvier 2018 et jusqu’au troisième mois suivant l’amé- lioration de l’état de santé attestée par le Dr F._______.</w:t>
      </w:r>
    </w:p>
    <w:p>
      <w:r>
        <w:rPr>
          <w:b/>
        </w:rPr>
        <w:t>E. 5.1</w:t>
      </w:r>
    </w:p>
    <w:p>
      <w:r>
        <w:t>Dans son recours, l’assurée reproche principalement à l’autorité précé- dente d’avoir examiné le droit aux prestations sur la base d’une instruction médicale lacunaire et de n’avoir pas tenu compte de la détérioration – sur- venue dans les suites de l’évaluation du Dr F._______– de son état de santé, la réalisation d’une activité même légère provoquant désormais d’in- supportables douleurs, des vertiges ainsi qu’une grande fatigue.</w:t>
      </w:r>
    </w:p>
    <w:p>
      <w:r>
        <w:rPr>
          <w:b/>
        </w:rPr>
        <w:t>E. 5.2</w:t>
      </w:r>
    </w:p>
    <w:p>
      <w:r>
        <w:t>L’argumentation de la recourante ne saurait être suivie. Avec l’autorité précédente, on doit en effet admettre que l’évaluation du Dr F._______ est convaincante en tous points. En effet, ce médecin a précisément circonscrit le contexte dans lequel s’insère son examen, reprenant largement les dif- férents avis médicaux portés au dossier ainsi que l’anamnèse et les plaintes de l’assurée, qui rapporte essentiellement un membre supérieur et un rachis cervical gauches douloureux accompagnés entre autres d’une diminution de la force et d’une fatigabilité. Aussi les circonstances perti- nentes pour trancher le droit aux prestations sont-elles examinées en détail par le Dr F._______. A la lecture de son rapport du 4 avril 2018, on com- prend ainsi aisément que les cervico-brachialgies et tendinopathies de la coiffe des rotateurs gauches entraînent depuis juin 2017 une incapacité de travail complète dans l’activité antérieure de l’assurée. Cela étant, se réfé- rant aux constatations cliniques corroborées par les résultats des investi- gations réalisées au moyen d’imageries, ce spécialiste en rhumatologie a décrit de façon étayée les limitations fonctionnelles occasionnées par ces atteintes. Ce faisant, il a évalué la capacité résiduelle de travail de l’assurée</w:t>
      </w:r>
    </w:p>
    <w:p>
      <w:r>
        <w:t>C-543/2021 Page 10 de façon objective, appréciant au demeurant le caractère invalidant des douleurs à la lumière des traitements antalgiques exigibles. Dans ces conditions, force est d’admettre que le rapport du Dr F._______ remplit les réquisits jurisprudentiels en matière de valeur probante de tels documents, ce quand bien même ce médecin n’a pas été mandaté par l’assureur invalidité en application de l’art. 44 LPGA (ATF 135 V 465 précité et 254 consid. 3). Pour le surplus, on ne voit pas que ses conclusions soient valablement remises en cause par les autres documents médicaux versés au dossier. A l’inverse, les constatations cliniques du Dr F._______ corres- pondent à celles des Drs I._______ et E._______ ; quant à son évaluation de la capacité résiduelle de travail de l’assurée, elle est expressément re- prise par le Dr K._______, consulté à plusieurs reprises par l’assureur-in- validité. De même, à l’instar du Dr F._______, le Dr H._______– bien qu’évoquant une péjoration de l’état de santé de l’assurée – lui reconnaît une capacité de travail du 80 % dans une activité épargnant son membre supérieur gauche. Dans son rapport du 30 janvier 2019, ce dernier méde- cin rapporte certes la symptomatologie de l’assurée à un syndrome de fi- bromyalgie dans lequel s’intègrerait les états de fatigue dont elle souffre (« Il me semble que c’est un problème de fibromyalgie et la fatigue s’in- tègre dans ce tableau », AI-C._______ pce 71). A cet égard et comme l’ex- plique le Dr K._______ dans sa prise de position du 17 juin 2019, le Dr H._______ ne se prévaut toutefois d’aucun élément objectif qu’aurait ignoré le Dr F._______, les deux médecins décrivant au contraire une symptomatologie largement superposable, caractérisée principalement par des cervicalgies, des douleurs aux épaules ainsi qu’une asthénie. Faute d’étayer le diagnostic de fibromyalgie en référence à des constations cli- niques et fonctionnelles précises et exhaustives, l’avis du médecin traitant n’apparaît ainsi pas de nature à remettre en cause les conclusions du Dr F._______, étant entendu que la recourante n'invoque aucun rapport mé- dical où le diagnostic de fibromyalgie serait clairement établi (par analogie : ATF 141 V 281 consid. 2.1.1 ; cf. également arrêt du TF 8C_259/2022 du 28 novembre 2022 consid. 6.2.1). Pour le surplus, rien au dossier n’atteste sérieusement une évolution défavorable de l’état de santé de l’assurée, quoiqu’elle en dise. Bien plutôt, l’IRM du rachis cervical réalisée en dé- cembre 2019 a documenté l’aspect stable des hernies discales étagées de C4 à C7. Quant aux médecins traitants les Drs J._______ et G._______ – qui font également état d’une symptomatologie caractérisée principale- ment par des douleurs au niveau de l’épaule gauche et du rachis cervicale –, ils ne motivent pas l’incapacité de travail reconnue à l’assurée au regard d’éléments convaincants et objectifs, mais semblent accorder davantage d’importance aux plaintes subjectives de cette dernière. En cela, leurs</w:t>
      </w:r>
    </w:p>
    <w:p>
      <w:r>
        <w:t>C-543/2021 Page 11 prises de position succinctes n’apparaissent pas à même de contredire l’appréciation motivée du Dr F._______ (sur la valeur probante des avis émanant des médecins traitants, cf. entre autres arrêt du TF 8C_13/2022 du 29 septembre 2022 consid. 3.1.2).</w:t>
      </w:r>
    </w:p>
    <w:p>
      <w:r>
        <w:rPr>
          <w:b/>
        </w:rPr>
        <w:t>E. 5.3</w:t>
      </w:r>
    </w:p>
    <w:p>
      <w:r>
        <w:t>En définitive, l’autorité précédente pouvait valablement se fonder sur l’appréciation du Dr F._______ et les prises de position de ses médecins SMR pour reconnaître à l’assurée, dès juin 2018, une capacité de travail de 80 % dans une activité adaptée à ses limitations fonctionnelles. Aussi y-a-t-il lieu de rejeter les réquisitions de la recourante tendant à la mise en œuvre d’une instruction complémentaire au plan neurologique notamment, cet aspect ayant été abordé à suffisance par le Dr F._______ eu égard notamment à l’avis fourni par le neurochirurgien E._______ (sur l’apprécia- tion anticipée des preuves, cf. ATF 140 I 285 consid. 6.3.1; voir aussi arrêt du TF 8C_159/2018 du 17 décembre 2018 consid. 3.2). Pour le surplus, la recourante ne remet à bon droit pas en cause l’évaluation de son degré d’invalidité (à cet égard, cf. entre autres arrêts du TF 8C_202/2022 du 9 novembre 2922 consid. 5 et 8C_122/2019 du 10 septembre 2019 consid. 6), ni le moment de l’ouverture, respectivement de la suppression du droit à la rente d’invalidité conformément aux art. 29 al. 1 LAI et 88a al. 1 RAI. Il s’ensuit que son recours, manifestement mal fondé, doit être rejeté dans une procédure à juge unique conformément à l’art. 85bis al. 3 LAVS en relation avec l’art. 69 al. 2 LAI et l'art. 23 al. 2 let. c LTAF.</w:t>
      </w:r>
    </w:p>
    <w:p>
      <w:r>
        <w:rPr>
          <w:b/>
        </w:rPr>
        <w:t>E. 6.1</w:t>
      </w:r>
    </w:p>
    <w:p>
      <w:r>
        <w:t>Vu l’issue de la procédure, les frais de celle-ci, fixés à Fr. 800.-, sont mis à la charge de la recourante (art. 63 al. 1 PA). Ils sont compensés avec l’avance de frais du même montant dont elle s’était acquittée (TAF pce 8).</w:t>
      </w:r>
    </w:p>
    <w:p>
      <w:r>
        <w:rPr>
          <w:b/>
        </w:rPr>
        <w:t>E. 6.2</w:t>
      </w:r>
    </w:p>
    <w:p>
      <w:r>
        <w:t>Dans la mesure où la recourante succombe, il n’y a pas lieu de lui al- 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t>C-543/2021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