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C-543/2014 vom 13. Juni 2016</w:t>
      </w:r>
    </w:p>
    <w:p>
      <w:r>
        <w:t>Bundesverwaltungsgericht, 2016-06-13, FR</w:t>
      </w:r>
    </w:p>
    <w:p>
      <w:r>
        <w:rPr>
          <w:b/>
        </w:rPr>
        <w:t xml:space="preserve">Quelle: </w:t>
      </w:r>
      <w:r>
        <w:t>https://mcp.opencaselaw.ch/entscheid/bvger_C-543_2014</w:t>
      </w:r>
    </w:p>
    <w:p>
      <w:r>
        <w:t>FR: TAF C-543/2014 du 13 juin 2016</w:t>
      </w:r>
    </w:p>
    <w:p>
      <w:r>
        <w:t>IT: TAF C-543/2014 del 13 giugno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de Genève OCAS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Toutefois les dispositions de la 5e révision de la LAI entrées en vigueur le 1er janvier 2008 sont également applicables, vu le dépôt de la demande en février 2009, s'agissant du droit à la rente jusqu'au 31 décembre 2011, ce qui motive que les dispositions citées ci-après sont également celles en vigueur jusqu'à cette date. En l'espèce, le Tribunal peut se limiter à examiner si le recourant remplissait les conditions d'octroi d'une rente depuis le 1er août 2009 (art. 29 al. 1 LAI, cf. la demande déposée en février 2009 [pce 2 p. 1 ss]) jusqu'au 29 novembre 2013, date de la décision attaquée marquant la limite dans le temps du pouvoir d'examen de l'autorité de recours (ATF 129 V 1 consid. 1.2).</w:t>
      </w:r>
    </w:p>
    <w:p>
      <w:r>
        <w:rPr>
          <w:b/>
        </w:rPr>
        <w:t>E. 2.2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Pierre Moor/Etienne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(cf. ATF 122 V 157 consid. 1a, ATF 121 V 204 consid. 6c; Moser/Beusch/Kneubühler, Prozessieren vor dem Bundesverwaltungsgericht, 2e éd. 2013, p. 25 n. 1.55). Elle ne tient pour existants que les faits qui sont prouvés, cas échéant au degré de la vraisemblance prépondérante (cf.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ATF 121 V 362 consid. 1b). Les faits survenus postérieurement, et qui ont modifié cette situation, doivent normalement faire l'objet d'une nouvelle décision administrative (ATF 117 V 287 consid. 4).</w:t>
      </w:r>
    </w:p>
    <w:p>
      <w:r>
        <w:rPr>
          <w:b/>
        </w:rPr>
        <w:t>E. 3.1</w:t>
      </w:r>
    </w:p>
    <w:p>
      <w:r>
        <w:t>L'affaire présente un aspect transfrontalier dans la mesure où le recourant est ressortissant suisse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Jusqu'au 31 mars 2012, les parties contractantes appliquaient entre elles le règlement (CEE) n° 1408/71 du Conseil du 14 juin 1971 relatif à l'application des régimes de sécurité sociale aux travailleurs salariés, aux travailleurs non-salariés et aux membres de leur famille qui se déplacent à l'intérieur de la Communauté (RS 0.831.109. 268.1, RO 2004 121;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 109.268.1; ci-après : règlement 883/2004). Le règlement 883/2004 - qui a donc remplacé le règlement 1408/71 - n'ouvre toutefois aucun droit pour la période antérieure à la date de son application (ATF 140 V 98 consid. 5.2; ATF 138 V 392 consid. 4.1.3). En l'occurrence, compte tenu de la période litigieuse, le litige doit être tranché sous l'angle des deux règlements précités (cf. ATF 140 V 98 consid. 5.2).</w:t>
      </w:r>
    </w:p>
    <w:p>
      <w:r>
        <w:rPr>
          <w:b/>
        </w:rPr>
        <w:t>E. 3.3</w:t>
      </w:r>
    </w:p>
    <w:p>
      <w:r>
        <w:t>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n° 1408/71 prévoyait une disposition analogue.</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4.1</w:t>
      </w:r>
    </w:p>
    <w:p>
      <w:r>
        <w:t>L'OAIE a rendu le 29 novembre 2013, communiquées en même temps, quatre décisions formellement séparées accompagnées d'une motivation globale unique déterminant successivement le droit à la rente de l'intéressé à compter du 1er août 2009 avec des taux d'invalidité retenus variables de 100% et 44%.</w:t>
      </w:r>
    </w:p>
    <w:p>
      <w:r>
        <w:rPr>
          <w:b/>
        </w:rPr>
        <w:t>E. 4.1.1</w:t>
      </w:r>
    </w:p>
    <w:p>
      <w:r>
        <w:t>L'objet de la contestation à teneur du recours sont deux décisions sur les quatre décisions portant, pour l'une, sur l'octroi limité dans le temps d'un quart de rente d'invalidité en raison d'une capacité de travail de 75% dans une activité adaptée et d'un taux d'invalidité en résultant de 44% du 1er juin 2011 au 29 février 2012 et, pour l'autre, sur l'octroi d'un quart de rente pour un taux d'invalidité également de 44% à compter du 1er octobre 2012 non limitée dans le temps. Le recourant fait valoir que sa capacité de travail très limitée devrait lui ouvrir le droit à une rente entière à partir du 1er août 2009.</w:t>
      </w:r>
    </w:p>
    <w:p>
      <w:r>
        <w:rPr>
          <w:b/>
        </w:rPr>
        <w:t>E. 4.1.2</w:t>
      </w:r>
    </w:p>
    <w:p>
      <w:r>
        <w:t>Le recourant précise qu'il ne conteste pas l'octroi d'une rente entière pour les périodes allant du 1er août 2009 au 31 mai 2011 et du 1er mars 2012 au 30 septembre 2012. 4.2.1 Selon la jurisprudence, si une rente est allouée et en même temps révisée en application par analogie des art. 17 LPGA et 88a du règlement du 19 juin 1959 sur l'assurance-invalidité (RAI, RS 831.201), dans le sens d'être augmentée, diminuée ou supprimée par périodes successives, il existe un rapport de droit complexe mais défini en substance uniquement par la hauteur des prestations et les périodes de droit précitées. Le fait que l'étendue et cas échéant la durée du droit aux prestations varient sur les périodes faisant l'objet de la décision est sans importance sous l'angle de l'objet de la contestation et de l'objet du litige. Lorsque seule la gradation ou la limitation dans le temps des prestations est contestée, le pouvoir d'examen du tribunal n'est pas limité au point que les périodes d'allocations de prestations non remises en cause par l'assuré soient exclues de l'appréciation du tribunal (ATF 131 V 164 consid. 2.2; ATF 125 V 417 consid. 2d avec les références). Selon la pratique il existe matériellement un unique rapport de droit si une prestation est allouée rétroactivement et adaptée à des états de fait qui ont changé. Pour l'examen judiciaire il n'y a pas de différence que l'instance inférieure ait rendu une ou plusieurs décisions, ceci n'étant pas déterminant car le contenu de la décision est identique (ATF 131 V 164 consid. 2.3 avec références). Ainsi, contrairement à l'avis du recourant, le Tribunal de céans est habilité à examiner les quatre décisions de droit à la rente rendues le 29 novembre 2013 comme un tout sans être limité dans son examen par les décisions / périodes de prestations expressément désignées comme contestées. Le fait que quatre décisions distinctes aient été rendues et que seules deux décisions aient été attaquées ne change rien à l'étendue du pouvoir d'examen du Tribunal. 4.2.2 Lorsqu'une autorité de première instance tranche définitivement le droit à la rente relativement à une période déterminée et renvoie la cause à l'administration pour nouvelle décision concernant la période postérieure, la partie de la décision qui se rapporte à la question définitivement tranchée constitue une décision partielle susceptible d'être attaquée séparément et qui, en cas de non-contestation, entre en force de façon indépendante et ne peut plus être attaquée par la suite (ATF 135 V 141 consid. 1.4.4-1.4.6). A l'inverse, la décision, par laquelle une autorité de première instance (contrairement à la solution adoptée dans le cas tranché par l'ATF 135 V 141) renvoie la cause à l'administration pour nouvelle décision au sujet de la période initiale du droit à la rente et statue définitivement sur la période immédiatement postérieure, constitue une décision incidente qui ne peut être attaquée qu'aux conditions des art. 92 ou 93 de la loi du 17 juin 2005 sur le Tribunal fédéral (LTF, RS 173.110; ATF 135 V 148 consid. 5.1-5.3).</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45 du règlement 1408/71 et art. 6 et 45 du règlement CE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 au moins (let. c).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 Meyer/Reichmuth, Bundesgesetz über die Invalidenversicherung [IV], 3e éd. 2014, art. 28 n° 32).).</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883/04).</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Selon l'al. 2,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RAI est toutefois applicable par analogie. Cette dernière disposition n'est cependant in casu pas applicable. Ce qui précède est applicable comme en l'espèce en cas de succession de rentes pour des taux d'invalidité variables.</w:t>
      </w:r>
    </w:p>
    <w:p>
      <w:r>
        <w:rPr>
          <w:b/>
        </w:rPr>
        <w:t>E. 7.1</w:t>
      </w:r>
    </w:p>
    <w:p>
      <w:r>
        <w:t>Le recourant a travaillé en dernier lieu en Suisse comme mécanicien de poids lourds, puis a été affecté par son employeur à des fonctions d'entretien des immeubles et d'outilleur jusqu'au 23 juillet 2008, date à partir de laquelle il n'a plus travaillé en raison de l'exacerbation de douleurs au rachis.</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[LAVS] et de l'assurance-invalidité [LAI], 2011, n° 2060 ss).</w:t>
      </w:r>
    </w:p>
    <w:p>
      <w:r>
        <w:rPr>
          <w:b/>
        </w:rPr>
        <w:t>E. 7.3</w:t>
      </w:r>
    </w:p>
    <w:p>
      <w:r>
        <w:t>Dans le cadre de la méthode générale et également dans le cadre d'autres méthodes, notamment pour les personnes sans activité lucrative ou ayant exercé une activité lucrative à temps partiel,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les médecins constituent un élément utile pour apprécier les conséquences de l'atteinte à la santé et pour déterminer quels travaux on peut encore raisonnablement exiger de l'assuré (ATF 125 V 256 consid. 4; ATF 115 V 133 consid. 2; ATF 114 V 310 consid. 3c).</w:t>
      </w:r>
    </w:p>
    <w:p>
      <w:r>
        <w:rPr>
          <w:b/>
        </w:rPr>
        <w:t>E. 8.1</w:t>
      </w:r>
    </w:p>
    <w:p>
      <w:r>
        <w:t>Selon l'art. 43 al. 1, 1ère phrase LPGA l'assureur examine les demandes, prend d'office les mesures d'instruction nécessaires et recueille les renseignements dont il a besoin (cf. supra consid. 2.2).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Il appartient à l'autorité compétente d'établir elle-même les faits pertinents dans la mesure où l'exige la correcte application de la loi (cf. ATF 116 V 23).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En règle générale, l'administration ne pourra pas se départir d'un rapport médical lorsqu'il est établi par des spécialistes reconnus sur la base d'observations approfondies et d'investigations complètes et en pleine connaissance du dossier et lorsqu'aucun indice concret ne permet de douter de son bien-fondé (voir spéc. Valterio, op. cit., n° 2891 ss). La valeur probante d'une expertise est liée à la condition que l'expert dispose de la formation nécessaire, de compétences professionnelles dans le domaine d'investigation (cf. Valterio, op. cit. n° 2912; arrêts du TF 9C_270/2008 du 12 août 2008 consid. 3.3, 9C_53/2009 du 29 mai 2009 consid. 4.2 et les références).</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le juge est tenu d'examiner s'il est propre à mettre en doute, sur les points litigieux importants, l'opinion et les conclusions de l'expert mandaté (cf. ATF 125 V 351 consid. 3b/dd et les références citées). Le simple fait qu'un avis médical divergent - même émanant d'un spécialiste - ait été produit ne suffit toutefois pas à lui seul à remettre en cause la valeur probante d'un rapport médical (arrêt du TF U 365/06 du 26 janvier 2007 consid. 4.1).</w:t>
      </w:r>
    </w:p>
    <w:p>
      <w:r>
        <w:rPr>
          <w:b/>
        </w:rPr>
        <w:t>E. 8.4</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w:t>
      </w:r>
    </w:p>
    <w:p>
      <w:r>
        <w:rPr>
          <w:b/>
        </w:rPr>
        <w:t>E. 8.5</w:t>
      </w:r>
    </w:p>
    <w:p>
      <w:r>
        <w:t>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9.1</w:t>
      </w:r>
    </w:p>
    <w:p>
      <w:r>
        <w:t>Dans son recours l'intéressé conclut à l'octroi d'une rente entière à compter du 1er août 2009 non limitée dans le temps. Il fit valoir le caractère non probant des rapports médicaux du Dr D._______ et du SMR, relevant que son dossier était médicalement néanmoins complet, qu'il n'y avait pas lieu de renvoyer le dossier à l'autorité inférieure pour complément d'instruction, que le tribunal de céans pouvait se déterminer, cas échéant en recourant si nécessaire à une expertise judiciaire. De son côté l'autorité inférieure conclut à l'annulation de la décision attaquée et au renvoi de la cause à elle-même afin qu'il soit procédé à un complément d'instruction vu que les décisions attaquées avaient été prises sans consultation du SMR après la mise en place de mesures de réinsertion et que de plus de nouveaux éléments étaient intervenus après la décision dont est recours [recte: avant que les décisions aient été rendues]. La question litigieuse est ainsi celle de savoir si les actes médicaux au dossier permettent de trancher la question de droit à la rente d'invalidité depuis le 1er août 2009.</w:t>
      </w:r>
    </w:p>
    <w:p>
      <w:r>
        <w:rPr>
          <w:b/>
        </w:rPr>
        <w:t>E. 9.2</w:t>
      </w:r>
    </w:p>
    <w:p>
      <w:r>
        <w:t>L'autorité inférieure a le 29 novembre 2013 rendu quatre décisions d'octroi de rente d'invalidité pour des périodes successives dans le temps, basées sur différents degrés d'invalidité, fondées essentiellement sur le rapport d'expertise du Dr D._______ du 11 avril 2011 complété de son appréciation du 10 octobre 2011 de la capacité de travail de l'intéressé. Comme il l'a été précisé on est matériellement en présence d'un unique rapport juridique de sorte que le pouvoir d'examen du tribunal n'est pas limité aux décisions contestées. Au contraire et selon le droit exposé les quatre décisions doivent être appréciées dans leur ensemble comme une seule décision (cf. consid. 4). L'expertise du Dr D._______ a été établie sur un examen du 6 avril 2011 par un expert-médecin spécialisé dans le domaine médical concerné par l'assuré (rhumatologie). Elle prend notamment en compte l'évolution des atteintes à la santé de l'intéressé, ses plaintes, ses limitations alléguées dans les activités habituelles, son suivi médical, les données de l'examen actuel du status, l'ensemble des atteintes actuelles à la santé, les limitations physiques induites de celles-ci et la perception par l'assuré de sa situation personnelle actuelle et projetée dans l'avenir. Elle parvient à une analyse de la situation médicale convaincante et à des conclusions motivées et plausibles de sorte qu'on peut lui attribuer pleine valeur probante. Le recourant n'émet d'ailleurs pas spécifiquement de griefs à l'encontre de l'expertise du Dr D._______. Il indique cependant que celle-ci n'est pas probante comme fondement des décisions dont est recours, de même que les rapports SMR, du fait que tant l'expertise du Dr D._______ que les rapports SMR ne prennent pas en compte l'évolution de son état de santé jusqu'au moment des décisions dont est recours. Il s'ensuit qu'en l'absence de rapports médicaux contradictoires devant être pris en compte à la date du 6 avril 2011, compte tenu de son caractère complet, matériellement non contesté, sous réserve de n'avoir plus été actuelle à la date des décisions attaquées (le 29 novembre 2013), l'expertise du Dr D._______ peut être qualifiée de probante en tout cas en référence à la date du 6 avril 2011.</w:t>
      </w:r>
    </w:p>
    <w:p>
      <w:r>
        <w:rPr>
          <w:b/>
        </w:rPr>
        <w:t>E. 9.3</w:t>
      </w:r>
    </w:p>
    <w:p>
      <w:r>
        <w:t>Dans son rapport d'expertise le Dr D._______ a retenu au 6 avril 2011 les diagnostics avec répercussion sur la capacité de travail de lombo-pseudo-cruralgies droites chroniques, troubles disco-dégénératifs importants du rachis lombaire, status après cures de hernie discale L4-L5 le 21 mars 2006 et le 20 octobre 2008, et, sans répercussion sur la capacité de travail, de status après tendinopathie de la coiffe des rotateurs de l'épaule droite, ostéopénie. Selon l'expert il y a lieu de retenir à la date de l'examen une incapacité de travail totale de l'assuré dans sa dernière activité de mécanicien automobile et une capacité de travail dans une activité professionnelle légère de 75% tenant compte de la diminution de rendement liée à la diminution de vitesse de certaines tâches impliquant le rachis et la marche de même que l'éventualité de prendre des pauses supplémentaires. Il indiqua les limitations fonctionnelles de ports de charges au-delà de 10 kg, les mouvements répétitifs du rachis en porte-à-faux, l'alternance de la position assise et debout environ aux deux heures, la position statique au-delà de 30 minutes et la marche prolongée. Rien au dossier ne permet de mettre en doute le diagnostic posé et l'appréciation de la capacité de travail retenue. Il sied de relever que l'OAI-GE partage cette appréciation à la date de l'examen du Dr D._______. L'amélioration éventuelle déjà en une date "postérieure à février 2011", mentionnée le 10 octobre 2011 sous toute réserve faute d'éléments objectifs, par le Dr D._______, sur question de l'OAI-GE, le fut en référence à un courrier de la Dresse B._______ du 29 novembre 2010 suite à un examen du 21 octobre 2010 pour une rechute de douleurs lombaires et l'apparition de sciatalgies droites dès le 2ème jour suivant un début de stage et d'un autre courrier de ce médecin du même jour qui avait certifié une prolongation de l'arrêt de travail de 50% pendant deux mois jusqu'au 31 janvier 2011 inclus. Il appert toutefois que l'indication "postérieure à février 2011" est imprécise et n'est qu'une supputation de l'expert, lequel a indiqué dans son rapport complémentaire du 10 octobre 2011 être dans l'impossibilité de se prononcer sur la capacité de travail de l'intéressé avant la date de son examen du 6 avril 2011 mais que le status à cette date pouvait remonter vraisemblablement postérieurement à février 2011. Il s'ensuit de ce qui précède qu'il ne peut rien être tiré de concluant quant à une éventuelle amélioration du statut de l'intéressé avant la date du 6 avril 2011, faute, comme l'a indiqué l'expert, d'éléments objectifs. Par ailleurs, sous l'angle d'une appréciation anticipée des preuves, et en considération de tous les éléments au dossier, un complément d'instruction à ce sujet ne pourrait rien changer à ce résultat.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125 I 127 consid. 6c/cc). Une telle manière de procéder ne viole pas le droit d'être entendu selon l'art. 29 al. 2 Cst. (SVR 2001 IV n° 10 p. 28 consid. 4b; cf. ATF 124 V 90 consid. 4b; ATF 122 V 157 consid. 1d et l'arrêt cité; arrêt du TF 9C-272/2011 du 6 décembre 2011 consid. 3.1).</w:t>
      </w:r>
    </w:p>
    <w:p>
      <w:r>
        <w:rPr>
          <w:b/>
        </w:rPr>
        <w:t>E. 9.4</w:t>
      </w:r>
    </w:p>
    <w:p>
      <w:r>
        <w:t>Ultérieurement à la date de l'expertise du Dr D._______, qui a retenu à ce moment (6 avril 2011) une amélioration de l'état de santé de l'intéressé et une capacité de travail de 75% dans une activité adaptée, il n'est pas possible sur la base des documents médicaux aux actes, de retenir jusqu'à quand cette capacité de travail a perduré avec une vraisemblance prépondérante. En effet déjà en date du 26 mai 2011 l'intéressé a consulté le Dr E._______, chirurgie orthopédique, en raison de douleurs constantes du rachis en vue d'une éventuelle nouvelle intervention, lequel avait préconisé comme alternative le maintien du port d'un corset. Le 1er décembre 2011, après avoir informée d'une détérioration de son état de santé pendant ces derniers mois (cf. courrier du 29 septembre 2011), l'intéressé a subi une première intervention chirurgicale en vue d'une réduction-arthrodèse lombo-sacrée de L3 au sacrum et le 6 janvier 2012 une deuxième intervention en vue d'une arthrodèse antérieure avec cage intersomatique L5-S1. Or malgré cette évolution notable de l'état de santé l'autorité inférieure n'a pas procédé à une instruction complémentaire.</w:t>
      </w:r>
    </w:p>
    <w:p>
      <w:r>
        <w:rPr>
          <w:b/>
        </w:rPr>
        <w:t>E. 9.5</w:t>
      </w:r>
    </w:p>
    <w:p>
      <w:r>
        <w:t>De fait, en raison de l'incertitude quant au début d'une nouvelle dégradation de l'état de santé de l'intéressé peu après l'expertise du Dr D._______, il n'est pas possible de dire pour combien de temps l'appréciation de la capacité de travail dans une activité adaptée selon l'expertise du Dr D._______ a gardé sa valeur probante. Dès lors il y a lieu d'annuler toute décision d'octroi de rente concernant toutes périodes trois mois après ladite expertise (art. 88a al. 1 RAI; cf. infra consid. 9.6) au profit d'un complément d'instruction. Les avis médicaux du Dr G._______, spécialiste FMH en cardiologie, nouveau médecin traitant de l'assuré à la suite de la fin d'activité de la Dresse B._______ annoncée par l'assuré le 29 septembre 2011 à l'OAI-GE, n'ont manifestement, et contrairement à l'avis du recourant, pas de valeur probante pour ce qui est des atteintes à la santé litigieuses de l'assuré du fait déjà que la spécialisation de ce médecin est étrangère aux atteintes à la santé litigieuses de l'intéressé. Pour cette raison le Tribunal de céans ne peut les retenir dans le cadre de l'examen actuel du recours. Ce qui ne veut pas dire qu'ils ne contiennent pas des informations générales utiles à l'appréciation de l'état de santé de l'assuré.</w:t>
      </w:r>
    </w:p>
    <w:p>
      <w:r>
        <w:rPr>
          <w:b/>
        </w:rPr>
        <w:t>E. 9.6</w:t>
      </w:r>
    </w:p>
    <w:p>
      <w:r>
        <w:t>Il s'ensuit du rapport du Dr D._______ du 11 avril 2011 probant au jour de l'examen (6 avril 2011), de son complément du 10 octobre 2011 ne permettant pas de retenir une date antérieure à celle de l'examen du 6 avril 2011 comme déterminante, vu qu'une amélioration de santé antérieure au 6 avril 2011 n'est pas attestée avec une vraisemblance prépondérante par des actes médicaux, des pièces au dossier et du fait que l'évolution de l'état de santé après le 6 avril 2011 n'est pas déterminée, qu'il se justifie, d'une part, de reconnaître à l'assuré une rente entière du 1er août 2009 au 31 juillet 2011 compte tenu de l'art. 88a al. 1 RAI (cf. le consid. 6.5) et, d'autre part, de renvoyer en application de l'art. 61 PA le dossier à l'autorité inférieure pour complément d'instruction pour la période à compter de la date d'expertise du 6 avril 2011. L'autorité inférieure requerra les rapports médicaux existant auprès des médecins l'ayant suivi ou en fera établir par ceux-ci. Sur cette base elle mettra sur pied une nouvelle expertise orthopédique ou rhumatologique afin de déterminer quelle a été l'évolution de l'état de santé de l'intéressé après l'expertise du Dr D._______. Il appartiendra aux experts médicaux de se prononcer notamment sur la question de savoir pour combien de temps l'appréciation du Dr D._______ peut être retenue sur le plan médical et d'établir, sur la base de l'évolution dans le temps de l'état de santé, l'évolution successive de la capacité de travail dans une activité adaptée jusqu'à la date des décisions attaquées voir jusqu'à la date de l'expertise complémentaire. L'autorité inférieure devra par la suite en application par analogie du droit de la révision établir l'évolution du taux d'invalidité jusqu'à la date des décisions attaquées, voir jusqu'à la date de l'expertise complémentaire.</w:t>
      </w:r>
    </w:p>
    <w:p>
      <w:r>
        <w:rPr>
          <w:b/>
        </w:rPr>
        <w:t>E. 9.7</w:t>
      </w:r>
    </w:p>
    <w:p>
      <w:r>
        <w:t>A l'appui de ce renvoi il sied de plus de relever, comme l'a fait le service médical de l'OAI-GE dans sa détermination du 5 mars 2014, que les décisions de rente du 29 novembre 2013 ont été prises par l'administration ayant retenu une capacité de travail de 75% dans une activité adaptée sans que le dossier ait été soumis préalablement pour appréciation à son service médical après la mise en place de mesures de réinsertion, alors que d'après le dernier rapport SMR la capacité de travail dans une activité adaptée n'était pas consolidée et qu'une nouvelle mesure d'instruction s'imposait.</w:t>
      </w:r>
    </w:p>
    <w:p>
      <w:r>
        <w:rPr>
          <w:b/>
        </w:rPr>
        <w:t>E. 10</w:t>
      </w:r>
    </w:p>
    <w:p>
      <w:r>
        <w:t>Contrairement à la conclusion subsidiaire du recourant, le renvoi du dossier à l'autorité inférieure en application de l'art. 61 PA est justifié en l'espèce par le fait de la nécessité de clarifier une situation de fait qui ne l'a pas été préalablement à la décision prise dont est recours en violation du devoir d'instruction (ATF 137 V 210 consid. 4.4.1.4). En effet il y a lieu de laisser à l'administration et en particulier à son service médical le soin d'examiner la capacité de travail de l'intéressé à compter de l'expertise du Dr D._______, ce qui n'a pas été fait, et ce qui se fera, sur la base des pièces au dossier et des pièces à demander établies suite à l'expertise précitée, par une expertise complémentaire orthopédique ou rhumatologique effectuée en Suisse comportant un volet rétrospectif important. Il sera tenu compte dans ce cadre de l'attitude de l'intéressé durant son dernier stage professionnel dont le rapport ORIF du 5 juin 2013 laisse entendre une non-motivation à une reprise de travail. Toutefois une nouvelle intervention chirurgicale intervenue le 29 novembre 2013 pour prothèse totale de la hanche gauche, date des décisions dont est recours, devra aussi être prise en compte quant aux incidences antérieures (et postérieures) à celles-ci sur la capacité de travail. Tous ces faits à prendre en considération sont des faits qui n'ont pas été appréciés par des spécialistes médicaux et l'autorité inférieure justifiant ainsi un renvoi pour un complément d'instruction motivé par une instruction initiale partielle dans le temps à finaliser. Si le Tribunal de céans devait procéder à la clarification des faits, la mise en place d'une expertise judiciaire en procédure de recours pour éclaircir un état de fait instruit de manière si lacunaire par l'autorité inférieure pourrait avoir l'effet indésirable de reporter le devoir légal incombant aux organes d'exécution d'établir l'état de fait relevant qui dut l'être déjà pendant la procédure administrative (art. 43 al. 1 LPGA). Un renvoi de l'affaire à l'instance précédente pour un complément d'instruction (art. 43 al. 1 LPGA) se justifie dans ces circonstances puisque la raison du renvoi est la nécessité de répondre à la question essentielle laissée ouverte jusqu'alors des conséquences des atteintes à la santé sur la capacité de travail et de rendement (cf. ATF 137 V 201 consid. 4.4.1.4). Le renvoi est ainsi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11</w:t>
      </w:r>
    </w:p>
    <w:p>
      <w:r>
        <w:t>Le recourant ayant eu partiellement gain de cause par l'annulation des décisions attaquées, la réformation d'un droit à la rente complète pour une première période prolongée par rapport à la première période initiale des décisions attaquées et le renvoi du dossier à l'autorité inférieure pour complément d'instruction (ATF 132 V 215 consid. 6.2), il n'est pas perçu de frais de procédure (art. 63 PA). Le recourant ayant agi en s'étant fait représenter par un mandataire professionnel, lequel n'a pas produit de notes d'honoraires, il lui est alloué une indemnité de dépends globale fixée d'office de 3'000.- francs à charge de l'autorité inférieure (art. 64 al. 1 PA, art. 7 ss et 14 al. 2 [fixation d'indemnité d'office en cas de non production d'une note d'honoraires] du règlement du 21 février 2008 concernant les frais, dépens et indemnités fixés par le Tribunal administratif fédéral [FITAF, RS 173.320.2]), compte tenu de l'issue du recours, de la difficulté de la cause ainsi que du travail effectué par le représentant.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