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C-5438/2011 vom 18. November 2011</w:t>
      </w:r>
    </w:p>
    <w:p>
      <w:r>
        <w:t>Bundesverwaltungsgericht, 2011-11-18, DE</w:t>
      </w:r>
    </w:p>
    <w:p>
      <w:r>
        <w:rPr>
          <w:b/>
        </w:rPr>
        <w:t xml:space="preserve">Quelle: </w:t>
      </w:r>
      <w:r>
        <w:t>https://mcp.opencaselaw.ch/entscheid/bvger_C-5438_2011</w:t>
      </w:r>
    </w:p>
    <w:p>
      <w:r>
        <w:t>FR: TAF C-5438/2011 du 18 novembre 2011</w:t>
      </w:r>
    </w:p>
    <w:p>
      <w:r>
        <w:t>IT: TAF C-5438/2011 del 18 novembre 2011</w:t>
      </w:r>
    </w:p>
    <w:p>
      <w:pPr>
        <w:pStyle w:val="Heading2"/>
      </w:pPr>
      <w:r>
        <w:t>Regeste</w:t>
      </w:r>
    </w:p>
    <w:p>
      <w:r>
        <w:t>Rückvergütung von Beiträgen</w:t>
      </w:r>
    </w:p>
    <w:p>
      <w:pPr>
        <w:pStyle w:val="Heading2"/>
      </w:pPr>
      <w:r>
        <w:t>Erwägungen</w:t>
      </w:r>
    </w:p>
    <w:p>
      <w:r>
        <w:rPr>
          <w:b/>
        </w:rPr>
        <w:t>E. 1</w:t>
      </w:r>
    </w:p>
    <w:p>
      <w:r>
        <w:t>Die Beschwerde wird insofern gutgeheissen, als dass der angefochtene Einspracheentscheid vom 4. August 2011 aufgehoben und die Sache zur Neubeurteilung im Sinne der Erwägungen an die Vorinstanz zurückgewiesen wird.</w:t>
      </w:r>
    </w:p>
    <w:p>
      <w:r>
        <w:rPr>
          <w:b/>
        </w:rPr>
        <w:t>E. 2</w:t>
      </w:r>
    </w:p>
    <w:p>
      <w:r>
        <w:t>Es werden keine Verfahrenskosten erhoben.</w:t>
      </w:r>
    </w:p>
    <w:p>
      <w:r>
        <w:rPr>
          <w:b/>
        </w:rPr>
        <w:t>E. 3</w:t>
      </w:r>
    </w:p>
    <w:p>
      <w:r>
        <w:t>Es werden keine Parteientschädigungen zugesprochen.</w:t>
      </w:r>
    </w:p>
    <w:p>
      <w:r>
        <w:rPr>
          <w:b/>
        </w:rPr>
        <w:t>E. 4</w:t>
      </w:r>
    </w:p>
    <w:p>
      <w:r>
        <w:t>Dieses Urteil geht an: - den Beschwerdeführer (Gerichtsurkunde) - die Vorinstanz (Ref-Nr. [...]; Einschreiben) - das Bundesamt für Sozialversicherungen (Einschreiben) Für die Rechtsmittelbelehrung wird auf die nächste Seite verwiesen. Der vorsitzende Richter: Der Gerichtsschreiber: Vito Valenti Roger Stalder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