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C-5437/2011 vom 11. Mai 2012</w:t>
      </w:r>
    </w:p>
    <w:p>
      <w:r>
        <w:t>Bundesverwaltungsgericht, 2012-05-11, IT</w:t>
      </w:r>
    </w:p>
    <w:p>
      <w:r>
        <w:rPr>
          <w:b/>
        </w:rPr>
        <w:t xml:space="preserve">Quelle: </w:t>
      </w:r>
      <w:r>
        <w:t>https://mcp.opencaselaw.ch/entscheid/bvger_C-5437_2011</w:t>
      </w:r>
    </w:p>
    <w:p>
      <w:r>
        <w:t>FR: TAF C-5437/2011 du 11 mai 2012</w:t>
      </w:r>
    </w:p>
    <w:p>
      <w:r>
        <w:t>IT: TAF C-5437/2011 del 11 maggio 2012</w:t>
      </w:r>
    </w:p>
    <w:p>
      <w:pPr>
        <w:pStyle w:val="Heading2"/>
      </w:pPr>
      <w:r>
        <w:t>Regeste</w:t>
      </w:r>
    </w:p>
    <w:p>
      <w:r>
        <w:t>Assicurazione per la vecchiaia e i superstiti (altro)</w:t>
      </w:r>
    </w:p>
    <w:p>
      <w:pPr>
        <w:pStyle w:val="Heading2"/>
      </w:pPr>
      <w:r>
        <w:t>Erwägungen</w:t>
      </w:r>
    </w:p>
    <w:p>
      <w:r>
        <w:rPr>
          <w:b/>
        </w:rPr>
        <w:t>E. 1.1</w:t>
      </w:r>
    </w:p>
    <w:p>
      <w:r>
        <w:t>In virtù dell'art. 31 LTAF, questo tribunale giudica i ricorsi contro le decisioni ai sensi dell'art. 5 della Legge federale sulla procedura amministrativa del 20 dicembre 1968 (PA, RS 172.021), emanate dalle autorità menzionate all'art. 33 LTAF, riservate le eccezioni di cui all'art. 32. In particolare, le decisioni rese dalla CSC concernenti l'assicurazione per la vecchiaia e per i superstiti, possono essere portate davanti al Tribunale amministrativo federale, conformemente all'art. 85bis cpv. 1 della Legge federale sull'assicurazione per la vecchiaia e per i superstiti del 20 dicembre 1946 (LAVS, RS 831.10).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Giusta l'art. 1 cpv. 1 LAVS, le disposizioni della LPGA sono applicabili alla prima parte della LAVS, sempre che la presente legge non preveda espressamente una deroga.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Trattasi di una normativa che si applica a tutte le rendite il cui diritto sorge a far data dal 1° giugno 2002 o successivamente e che sancisce il principio della parità di trattamento tra cittadini che risiedono in uno Stato membro della Comunità europea ed i cittadini svizzeri (art. 3 del Regolamento CEE n° 1408/71). Questi testi sono applicabili al caso concreto nella loro versione in vigore per la Svizzera fino al 31 marzo 2012.</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vecchiaia svizzera sono regolate dal diritto interno svizzero (DTF 130 V 257 consid. 2.4).</w:t>
      </w:r>
    </w:p>
    <w:p>
      <w:r>
        <w:rPr>
          <w:b/>
        </w:rPr>
        <w:t>E. 2.3</w:t>
      </w:r>
    </w:p>
    <w:p>
      <w:r>
        <w:t>L'art. 153a cpv. 1 LAVS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3</w:t>
      </w:r>
    </w:p>
    <w:p>
      <w:r>
        <w:t>Il ricorrente contesta la soppressione della rendita per orfani in favore della figlia ... a decorrere dal 1° luglio 2010, operata dalla CSC con decisione del 31 marzo 2011 e confermata mediante decisione su opposizione del 15 agosto 2011.</w:t>
      </w:r>
    </w:p>
    <w:p>
      <w:r>
        <w:rPr>
          <w:b/>
        </w:rPr>
        <w:t>E. 4.1</w:t>
      </w:r>
    </w:p>
    <w:p>
      <w:r>
        <w:t>Le vedove e i vedovi hanno diritto a una rendita se, alla morte del coniuge, hanno figli (art. 23 cpv. 1 LAVS). Il diritto alla rendita vedovile nasce il primo giorno del mese seguente a quello in cui è avvenuta la morte del coniuge (art. 23 cpv. 2 LAVS).</w:t>
      </w:r>
    </w:p>
    <w:p>
      <w:r>
        <w:rPr>
          <w:b/>
        </w:rPr>
        <w:t>E. 4.2</w:t>
      </w:r>
    </w:p>
    <w:p>
      <w:r>
        <w:t>Hanno diritto ad una rendita per orfani i figli ai quali è morto il padre o la madre. In caso di decesso di entrambi i genitori hanno diritto a due rendite per orfani (art. 25 cpv. 1 LAVS). Il diritto alla rendita per orfani nasce il primo giorno del mese successivo a quello della morte del padre o della madre. Si estingue quando l'orfano compie i diciotto anni o muore (art. 25 cpv. 4 LAVS). Per figli ancora in formazione, il diritto dura fino al termine della stessa, ma al più tardi fino a venticinque anni compiuti. Il Consiglio federale può stabilire che cosa si intende per formazione (art. 25 cpv. 5 LAVS).</w:t>
      </w:r>
    </w:p>
    <w:p>
      <w:r>
        <w:rPr>
          <w:b/>
        </w:rPr>
        <w:t>E. 4.3</w:t>
      </w:r>
    </w:p>
    <w:p>
      <w:r>
        <w:t>L'Ufficio federale delle assicurazioni sociali (UFAS) ha specificato, ai paragrafi 3358 a 3368 delle "Directives concernant les rentes de l'assurance-vieillesse, survivants et invalidité fédérale" (DR, nelle sole versioni francese e tedesca, aggiornate al 1° gennaio 2010; http://www.bsv.admin.ch), che una persona segue una formazione se, per un periodo determinato di almeno un mese, frequenta corsi in istituti d'insegnamento secondari, professionali o universitari. Riassuntivamente, è sufficiente frequentare una scuola o un corso anche senza lo scopo di conseguire un diploma, ma solo per poter esercitare una determinata professione, oppure seguire una formazione che non prepara direttamente a una data professione. È però sempre necessaria la preparazione sistematica nel quadro di una formazione regolare e riconosciuta de iure o de facto, ripercuotentesi sul reddito dell'attività lucrativa che sarà in seguito esercitata.</w:t>
      </w:r>
    </w:p>
    <w:p>
      <w:r>
        <w:rPr>
          <w:b/>
        </w:rPr>
        <w:t>E. 4.4</w:t>
      </w:r>
    </w:p>
    <w:p>
      <w:r>
        <w:t>Per ammettere l'esistenza di una preparazione sistematica a una professione, secondo la giurisprudenza dell'allora Tribunale federale delle assicurazioni [Revue à l'intention des caisses de compensation (RCC), 1978, pag. 561], non è sufficiente che l'interessato segua soltanto formalmente le scuole e i corsi pratici a tale scopo. Egli deve piuttosto seguire tale formazione con lo zelo che si può esigere da lui in modo da terminarla con successo in un tempo normale.</w:t>
      </w:r>
    </w:p>
    <w:p>
      <w:r>
        <w:rPr>
          <w:b/>
        </w:rPr>
        <w:t>E. 5.1</w:t>
      </w:r>
    </w:p>
    <w:p>
      <w:r>
        <w:t>In concreto, dall'incarto risulta che ... ...ha compiuto i diciotto anni il 18 gennaio 2006. Quando sua madre è deceduta, il 23 maggio 2006, ... ...non aveva ancora terminato la propria formazione universitaria, per cui la CSC ha versato al ricorrente, unitamente alla rendita vedovile, anche la rendita per orfani a favore di ..., nonché dei suoi due altri figli ancora minorenni, conformemente all'art. 25 cpv. 5 LAVS, e ciò a decorrere dal 1° giugno 2006. È inoltre assodato, alla luce dei certificati d'immatricolazione alla facoltà di lettere dell'Università di Palermo, che ... ...ha iniziato il corso di laurea nell'anno accademico 2007/8, proseguendo nel 2008/9 e 2009/10, per iscriversi nuovamente alla facoltà di lettera dell'Unimi nell'anno accademico 2010/11, al primo anno del cursus normale.</w:t>
      </w:r>
    </w:p>
    <w:p>
      <w:r>
        <w:rPr>
          <w:b/>
        </w:rPr>
        <w:t>E. 5.2</w:t>
      </w:r>
    </w:p>
    <w:p>
      <w:r>
        <w:t>Ora, come già rilevato, la durata normale ufficiale, sia a Palermo che a Milano, degli studi di lettere intrapresi da ... ...è di tre anni. Ciononostante, quest'ultima, dopo avere frequentato durante tre anni la facoltà di lettere presso l'Università di Palermo e avere passato otto esami, si è nuovamente iscritta al primo anno alla stessa facoltà dell'Unimi. Date queste condizioni, non è possibile affermare che la figlia dell'interessato si sia impegnata sistematicamente per ottenere il proprio diploma, facendo prova di zelo per cercare di concludere la formazione nel tempo normale ufficiale di tre anni.</w:t>
      </w:r>
    </w:p>
    <w:p>
      <w:r>
        <w:rPr>
          <w:b/>
        </w:rPr>
        <w:t>E. 6</w:t>
      </w:r>
    </w:p>
    <w:p>
      <w:r>
        <w:t>Di conseguenza, visto quanto precede, il ricorso deve essere respinto e la decisione impugnata confermata.</w:t>
      </w:r>
    </w:p>
    <w:p>
      <w:r>
        <w:rPr>
          <w:b/>
        </w:rPr>
        <w:t>E. 7</w:t>
      </w:r>
    </w:p>
    <w:p>
      <w:r>
        <w:t>In virtù dell'art. 24 cpv. 1 LTAF, il giudice dell'istruzione decide quale giudice unico circa lo stralcio dal ruolo delle cause divenute prive di oggetto (lett. a) e la non entrata nel merito di impugnazioni manifestamente inammissibili (lett. b). Sono fatte salve, conformemente al cpv. 2, le competenze del giudice unico secondo le leggi federali in materia di assicurazioni sociali. Ai sensi dell'art. 85bis cpv. 3 LAVS, se l'esame preliminare, anteriore o posteriore a uno scambio di scritti, rileva che il ricorso al Tribunale amministrativo federale è inammissibile o manifestamente infondato, un giudice unico può, con motivazione sommaria, pronunciare la non entrata in materia o il rigetto. In concreto, questo Tribunale può quindi pronunciare, quale giudice unico, il rigetto del presente ricorso manifestamente infondato.</w:t>
      </w:r>
    </w:p>
    <w:p>
      <w:r>
        <w:rPr>
          <w:b/>
        </w:rPr>
        <w:t>E. 8</w:t>
      </w:r>
    </w:p>
    <w:p>
      <w:r>
        <w:t>Secondo l'art. 85bis cpv. 2 LAVS, la procedura è gratuita per le parti. Tuttavia, i costi possono essere accollati alla parte che procede in modo temerario o sconsiderato. In concreto, non si prelevano spese processuali. In conformità con l'art. 64 cpv. 1 PA, l'autorità di ricorso, se ammette il ricorso in tutto o in parte, può assegnare al ricorrente una indennità per le spese indispensabili e relativamente elevate che ha sopportato (spese ripetibili). Visto l'esito della procedura, non si assegnano alla ricorrente indennità per spese ripetibili. Per quanto concerne la CSC,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