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C-5437/2007 vom 26. Juni 2009</w:t>
      </w:r>
    </w:p>
    <w:p>
      <w:r>
        <w:t>Bundesverwaltungsgericht, 2009-06-26, FR</w:t>
      </w:r>
    </w:p>
    <w:p>
      <w:r>
        <w:rPr>
          <w:b/>
        </w:rPr>
        <w:t xml:space="preserve">Quelle: </w:t>
      </w:r>
      <w:r>
        <w:t>https://mcp.opencaselaw.ch/entscheid/bvger_C-5437_2007</w:t>
      </w:r>
    </w:p>
    <w:p>
      <w:r>
        <w:t>FR: TAF C-5437/2007 du 26 juin 2009</w:t>
      </w:r>
    </w:p>
    <w:p>
      <w:r>
        <w:t>IT: TAF C-5437/2007 del 26 giugno 2009</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compensations [RCC] 1989 p. 330). Même après l'entrée en vigueur de l'ALCP, le degré d'invalidité d'un assuré qui prétend une rente de l'assurance-invalidité suisse est déterminé exclusivement d'après le droit suisse (ATF 130 V 253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La présente procédure est ainsi régie par la teneur de la LAI modifiée par la novelle du 21 mars 2003 (4ème révision). Les dispositions de la 5ème révision entrées en vigueur le 1er janvier 2008 ne sont pas applicables.</w:t>
      </w:r>
    </w:p>
    <w:p>
      <w:r>
        <w:rPr>
          <w:b/>
        </w:rPr>
        <w:t>E. 3.3</w:t>
      </w:r>
    </w:p>
    <w:p>
      <w:r>
        <w:t>Le recourant a présenté sa demande de rente le 6 avril 2006 (pce TAF 1).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6 avril 2005 (12 mois avant le dépôt de la demande) ou si le droit à une rente était né entre cette date et le 20 juillet 2007, date de la décision attaquée marquant la limite dans le temps du pouvoir d'examen de l'autorité de recours (ATF 129 V 1 consid. 1.2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Le recourant a versé des cotisations à l'AVS/AI pendant plus d'une année au total (pce 7)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125 V 193 consid. 2).</w:t>
      </w:r>
    </w:p>
    <w:p>
      <w:r>
        <w:rPr>
          <w:b/>
        </w:rPr>
        <w:t>E. 7.2</w:t>
      </w:r>
    </w:p>
    <w:p>
      <w:r>
        <w:t>Par ailleurs, la procédure est régie par le principe inquisitoire, selon lequel les faits pertinents de la cause doivent être constatés d'office par l'administration (art. 43 LPGA). La portée de cette maxime est déterminée par les exigences susmentionnées concernant l'appréciation des preuves. Elle a pour conséquence que l'administration prendra d'office toute mesure nécessaire à établir un dossier de la cause complet permettant d'établir les faits pertinents conformément au degré de vraisemblance prépondérante (Ueli Kieser, ATSG-Kommentar, 2ème édition, Zurich Bâle Genève 2009, art. 43 n° 12, 17 et 30). Dans cette optique, l'autorité procédera à une instruction complémentaire, lorsque celle-ci apparaît être suffisamment justifiée au vu des allégations des parties ou d'autres éléments ressortant du dossier (ATF 117 V 282 consid. 4a).</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Il appert notamment du rapport E 213 daté du 8 mai 2006 que l'assuré présente un status après remplacement de la valve aortique suite à une sténose sévère en date du 29 septembre 2005 et une dyspnée de classe fonctionnelle II.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convient ensuite de déterminer dans quelle mesure l'exercice d'une activité lucrative peut, sur le plan médical, être exigé de l'intéressé.</w:t>
      </w:r>
    </w:p>
    <w:p>
      <w:r>
        <w:rPr>
          <w:b/>
        </w:rPr>
        <w:t>E. 9.2.1</w:t>
      </w:r>
    </w:p>
    <w:p>
      <w:r>
        <w:t>Le Dr E._______, médecin de l'OAIE, retient, dans sa prise de position du 25 mars 2007 (pce 18), que les anciennes activités exercées par le recourant (pompiste et aide-magasinier) sont toujours exigibles de sa part à temps complet. Selon lui, l'assuré a présenté une incapacité de travail pendant seulement une courte période en rapport avec l'intervention chirurgicale de 2005, de sorte que l'on ne peut retenir une maladie de longue durée ouvrant le droit à une rente.</w:t>
      </w:r>
    </w:p>
    <w:p>
      <w:r>
        <w:rPr>
          <w:b/>
        </w:rPr>
        <w:t>E. 9.2.2</w:t>
      </w:r>
    </w:p>
    <w:p>
      <w:r>
        <w:t>Cette appréciation s'accorde avec les conclusions du médecin de l'INSS. En effet, le Dr F._______, dans le rapport médical E 213 du 8 mai 2006, indique notamment que l'opération au coeur effectuée sur l'assuré le 29 septembre 2005 n'a pas donné lieu à des complications postopératoires. Il retient toutefois chez l'intéressé une dyspnée de classe fonctionnelle II et une limitation fonctionnelle pour effectuer des efforts physiques importants et des tâches avec risques de traumatisme (pce 15 p. 8). Par ailleurs il fait part d'une mobilité conservée du rachis et des membres supérieurs et inférieurs ainsi que de l'absence de pathologies neurologiques tant au niveau de la marche que des mouvements (pce 15 p. 5). Bien qu'il ne réponde pas expressément à la question 11.4 du formulaire demandant si l'assuré est toujours à même d'exercer sa dernière profession, il conclut que celui-ci peut accomplir une activité mi-lourde de façon régulière pour autant que celle-ci ne l'expose pas à des risques de chutes (pce 15 p. 8-9). Au vu de ces éléments, le Tribunal de céans peut donc constater que, sur le plan médical, le rapport médical E 213 confirme l'exigibilité à plein temps de l'ancienne profession de pompiste exercée par le recourant. On note en particulier que cette profession est expressément qualifiée de légère par l'ancien employeur de l'intéressé (pce 8 p. 1).</w:t>
      </w:r>
    </w:p>
    <w:p>
      <w:r>
        <w:rPr>
          <w:b/>
        </w:rPr>
        <w:t>E. 9.2.3</w:t>
      </w:r>
    </w:p>
    <w:p>
      <w:r>
        <w:t>Le rapport médical du 15 janvier 2007 (pce 16), signé par le Dr D._______, ne contient pour sa part pas d'éléments objectifs permettant de semer un doute suffisant sur les conclusions des Drs E._______ et F._______. En effet, ce rapport fait notamment part (1) d'une échographie cardiaque effectuée le 15 mars 2006 selon laquelle, notamment, le patient présentait une fraction d'éjection de 35%, (2) du remplacement de la valve aortique par une prothèse mécanique le 29 septembre 2005 et (3) d'une échographie cardiaque effectuée le 30 janvier 2006 montrant que la prothèse fonctionne normalement. Ce rapport indique également que l'intéressé est soumis à un contrôle annuel avec électrocardiogramme, échographie cardiaque et analyses et informe que le recourant présente un grade fonctionnel I (concernant la classification des grades fonctionnels en rapport avec les maladies cardiaques, cf. Armando Mori, La classificazione NYHA e la disfunzione meccanica in cardiologia forense, in: Rassegna di medicina legale previdenziale - XVI - 2003, p. 29 p. 28). Ces dernières informations, à savoir le bon fonctionnement de la prothèse et le grade fonctionnel I retenu chez le recourant, permettent de conclure à un développement positif de l'affection dont souffre l'intéressé. Dans ces circonstances, le fait qu'il présentait, lors de l'échographie cardiaque du 15 mars 2006, une fraction d'éjection de seulement 35% ne saurait être déterminant (cf. à ce sujet, Marcel Garnier, Valery Delamare, Jean Delamare, Thérèse Delamare, Jacques Delamare, Dictionnaire illustré des termes de médecine, 29ème édition, Paris 2006 dont les auteurs, sous le terme "éjection ventriculaire [fraction d']", retiennent que la valeur normale de cet indice est voisine de 0.60). Par ailleurs, on observe que l'intéressé, représenté par un avocat, n'a fourni aucun document objectif permettant de remettre en cause les conclusions des Drs E._______ et F._______. Le Tribunal de céans peut donc conclure que, sur le plan médical, le recourant ne présente pas une incapacité de travail d'au moins 40% dans ses anciennes professions de pompiste et d'aide-magasinier.</w:t>
      </w:r>
    </w:p>
    <w:p>
      <w:r>
        <w:rPr>
          <w:b/>
        </w:rPr>
        <w:t>E. 10</w:t>
      </w:r>
    </w:p>
    <w:p>
      <w:r>
        <w:t>Au vu de ce qui précède, il appert que l'autorité inférieure a à juste titre rejeté la demande de prestations du recourant. Le présent recours doit par conséquent être rejeté et la décision attaquée confirmée.</w:t>
      </w:r>
    </w:p>
    <w:p>
      <w:r>
        <w:rPr>
          <w:b/>
        </w:rPr>
        <w:t>E. 11</w:t>
      </w:r>
    </w:p>
    <w:p>
      <w:r>
        <w:t>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fournie.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