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C-5426/2015 vom 1. Juni 2017</w:t>
      </w:r>
    </w:p>
    <w:p>
      <w:r>
        <w:t>Bundesverwaltungsgericht, 2017-06-01, DE</w:t>
      </w:r>
    </w:p>
    <w:p>
      <w:r>
        <w:rPr>
          <w:b/>
        </w:rPr>
        <w:t xml:space="preserve">Quelle: </w:t>
      </w:r>
      <w:r>
        <w:t>https://mcp.opencaselaw.ch/entscheid/bvger_C-5426_2015</w:t>
      </w:r>
    </w:p>
    <w:p>
      <w:r>
        <w:t>FR: TAF C-5426/2015 du 1 juin 2017</w:t>
      </w:r>
    </w:p>
    <w:p>
      <w:r>
        <w:t>IT: TAF C-5426/2015 del 1 giugno 2017</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Verfügungen der SUVA über Anordnungen zur Verhütung von Unfällen, die nicht durch Einsprache anfechtbar sind, ergibt sich aus Art. 109 Bst. c in Verbindung mit Art. 105a des Bundesgesetzes vom 20. März 1981 über die Unfallversicherung (UVG, SR 832.20).</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Nach Art. 59 ATSG ist zur Beschwerde berechtigt, wer durch die angefochtene Verfügung (oder den angefochtenen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 des Bundesgerichts [BGer] 2C_166/2009 vom 30. November 2009 E. 1.2.1, Urteil des BGer 8C_622/2009 vom 3. Dezember 2009 E. 1.1; zu den Ausnahmen vgl. bspw. Urteil des BGer 2C_166/2009 vom 30. November 2009 E. 1.2.1, vgl. auch BGE 135 I 79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Fällt das schutzwürdige Interesse im Laufe des Verfahrens dahin, wird die Sache als erledigt erklärt; fehlte es schon bei der Beschwerdeeinreichung, ist auf die Eingabe nicht einzutreten (Urteil des BGer 2C_1025/2014 vom 3. Dezember 2014 E. 2.2 mit Hinweis auf BGE 137 I 23 E. 1.3 mit Hinweisen).</w:t>
      </w:r>
    </w:p>
    <w:p>
      <w:r>
        <w:rPr>
          <w:b/>
        </w:rPr>
        <w:t>E. 1.4</w:t>
      </w:r>
    </w:p>
    <w:p>
      <w:r>
        <w:t>Mit Verwaltungsgerichtsbeschwerde anfechtbar sind Verfügungen im Sinne von Art. 5 VwVG (Art. 44 VwVG, vgl. auch Art. 56 Abs. 1 ATSG).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gekennzeichnet ist oder den gesetzlichen Formvorschriften für eine Verfügung entspricht. Massgebend ist vielmehr, ob die Strukturmerkmale einer Verfügung vorhanden sind (Urteil des BVGer A-8518/2007 vom 18. September 2008 E. 4.4 mit Hinweisen).</w:t>
      </w:r>
    </w:p>
    <w:p>
      <w:r>
        <w:rPr>
          <w:b/>
        </w:rPr>
        <w:t>E. 1.5.1.1</w:t>
      </w:r>
    </w:p>
    <w:p>
      <w:r>
        <w:t>Angefochten ist einerseits die Verfügung "Arbeitseinstellung" der SUVA vom 15. Juli 2015 (act. 1). Diese ohne vorgängige Ermahnung gestützt auf Art. 62 Abs. 2 in Verbindung mit Art. 64 Abs. 1 VUV erlassene Verfügung vom 15. Juli 2015 enthält die Feststellung, dass der Graben mit einer Tiefe von mehr als 1.5 m weder abgestützt, abgeböscht noch mit anderen geeigneten Massnahmen gesichert sei, und ordnet als Sofortmassnahme die Einstellung der Arbeiten im Graben an, bis die notwendigen Sicherheitsmassnahmen umgesetzt seien.</w:t>
      </w:r>
    </w:p>
    <w:p>
      <w:r>
        <w:rPr>
          <w:b/>
        </w:rPr>
        <w:t>E. 1.5.1.2</w:t>
      </w:r>
    </w:p>
    <w:p>
      <w:r>
        <w:t>Mit E-Mail vom 16. Juli 2015 meldete die Beschwerdeführerin der Suva den Vollzug der Grabenspriessung und bat um eine diesbezügliche Bestätigung. Obwohl eine solche nicht aktenkundig ist, ist insbesondere auch mit Blick auf die entsprechenden Fotos (act. 3) davon auszugehen, dass die Beschwerdeführerin die gemäss angefochtener Verfügung vom 15. Juli 2015 geforderten Massnahmen umgesetzt hatte, was im Übrigen auch die Vorinstanz in ihrer Duplik vom 5. Januar 2015 (B-act. 10) sowie in der Vernehmlassung vom 30. Oktober 2015 (B-act. 6) bestätigte. Da die Umsetzung im Zeitpunkt der Beschwerdeerhebung vom 4. September 2015 (B-act. 1) bereits erfolgt war, ist zu prüfen, ob im Zeitpunkt der Beschwerdeerhebung ein schutzwürdiges Interesse bestanden hatte.</w:t>
      </w:r>
    </w:p>
    <w:p>
      <w:r>
        <w:rPr>
          <w:b/>
        </w:rPr>
        <w:t>E. 1.5.1.3</w:t>
      </w:r>
    </w:p>
    <w:p>
      <w:r>
        <w:t>Die am 15. Juli 2015 verfügte Feststellung des Verstosses gegen Vorschriften betreffend die Arbeitssicherheit bleibt auch nach der Behebung des Mangels bestehen und sie kann - wie bei einer Ermahnung - im Hinblick auf eine spätere Prämienerhöhung zu Lasten der Beschwerdeführerin berücksichtigt werden. Das aktuelle Rechtsschutzinteresse ist daher gegeben (vgl. BVGE 2010/37 E. 2.4.4 mit Hinweis auf Urteil C-3183/2006 vom 6. Juli 2007 E. 3.6).</w:t>
      </w:r>
    </w:p>
    <w:p>
      <w:r>
        <w:rPr>
          <w:b/>
        </w:rPr>
        <w:t>E. 1.5.2.1</w:t>
      </w:r>
    </w:p>
    <w:p>
      <w:r>
        <w:t>Angefochten ist weiter auch die Ermahnung Stufe 1 der SUVA vom 16. Juli 2015, worin die Beschwerdeführerin aufgefordert wurde, die Mitarbeitenden und Vorgesetzten über die gesetzlichen Bestimmungen bezüglich Schutzhelmtragpflicht zu instruieren und dafür zu sorgen, dass die persönliche Schutzausrüstung jederzeit und bestimmungsgemäss verwendet werde; darüber hinaus erwähnte die Vorinstanz - wie bereits in der Verfügung vom 15. Juli 2016 - als Sofortmassnahme die Arbeitseinstellung bis zur Umsetzung der notwendigen Sicherheitsmassnahmen und präzisierte die von der Versicherten umzusetzenden Massnahmen im Zusammenhang mit dem Graben (act. 2). Nachfolgend ist zu prüfen, ob der Ermahnung Stufe 1 vom 16. Juli 2015 Verfügungscharakter zukommt.</w:t>
      </w:r>
    </w:p>
    <w:p>
      <w:r>
        <w:rPr>
          <w:b/>
        </w:rPr>
        <w:t>E. 1.5.2.2</w:t>
      </w:r>
    </w:p>
    <w:p>
      <w:r>
        <w:t>Nach der Rechtsprechung ist eine behördliche Mahnung einer Verfügung im Sinne von Art. 5 VwVG gleichzustellen, wenn diese die Rechtsstellung der Betroffenen verschlechtert (BGE 103 Ib 350 E. 2, vgl. auch BGE 125 I 119 E. 2a).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 des BGer 5P.199/2003 vom 12. August 2003 E. 1.1), sofern sich die aktuelle Rechtsstellung der betroffenen Person allein dadurch verschlechtert (vgl. Tschannen/Zimmerli/Müller, Allgemeines Verwaltungsrecht, 3. Aufl., Bern 2009, § 28 N. 27; Urteil des BGer 1P.555/2001 vom 3. Januar 2002 E. 4.2 ff.). Im Falle einer Belehrung, eines Verweises, einer Mahnung oder dergleichen gilt es zu prüfen, ob diesem Akt Sanktionscharakter zukommt; dies trifft dann zu, wenn er den Vorwurf rechtswidrigen Verhaltens in sich schliesst, dem Betreffenden nahe legt, dieses in Zukunft zu unterlassen, und objektiv eine Massregelung darstellt. Von Bedeutung ist sodann, inwiefern sich die früher verhängte Massnahme bei der Beurteilung in einem allfällig später eingeleiteten Disziplinarverfahren auswirken würde (Urteil des BGer 5P.199/2003 vom 12. August 2003 E. 1.1 mit Hinweisen).</w:t>
      </w:r>
    </w:p>
    <w:p>
      <w:r>
        <w:rPr>
          <w:b/>
        </w:rPr>
        <w:t>E. 1.5.2.3</w:t>
      </w:r>
    </w:p>
    <w:p>
      <w:r>
        <w:t>Nach Art. 62 Abs. 1 VUV macht das für die Kontrolle zuständige Durchführungsorgan, wenn sich aufgrund eines Betriebsbesuches herausstellt, dass Vorschriften über die Arbeitssicherheit verletzt sind, den Arbeitgeber darauf aufmerksam und setzt ihm eine angemessene Frist zur Einhaltung der Vorschrift. Diese Ermahnung ist dem Arbeitgeber schriftlich zu bestätigen.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in Verbindung mit Art. 92 Abs. 3 UVG in eine höhere Stufe des Prämientarifs versetzt werden (Prämienerhöhung). Ermahnungen des Kontrollorgans sind in der Regel notwendige Voraussetzung für eine spätere Sanktionierung in Form einer Prämienerhöhung nach Art. 92 Abs. 3 UVG in Verbindung mit Art. 66 Abs. 1 VUV und verschlechtern die aktuelle Rechtsstellung eines betroffenen Betriebs.</w:t>
      </w:r>
    </w:p>
    <w:p>
      <w:r>
        <w:rPr>
          <w:b/>
        </w:rPr>
        <w:t>E. 1.5.2.4</w:t>
      </w:r>
    </w:p>
    <w:p>
      <w:r>
        <w:t>Da der Ermahnung Stufe 1 vom 16. Juli 2015 Sanktionscharakter im Sinne der oben erwähnten Rechtsprechung zukommt, kann diese beim Bundesverwaltungsgericht grundsätzlich angefochten werden (BVGE 2010/37 E. 2.4.3 ff. mit Hinweisen).</w:t>
      </w:r>
    </w:p>
    <w:p>
      <w:r>
        <w:rPr>
          <w:b/>
        </w:rPr>
        <w:t>E. 1.5.3</w:t>
      </w:r>
    </w:p>
    <w:p>
      <w:r>
        <w:t>Aufgrund der vorstehenden Erwägungen ist zusammenfassend festzuhalten, dass die Beschwerdeführerin durch die angefochtene Verfügung vom 15. Juli 2015 bzw. die Ermahnung Stufe 1 vom 16. Juli 2015 berührt ist und ein schutzwürdiges Interesse an deren Aufhebung oder Änderung hat (vgl. auch Art. 48 Abs. 1 Bst. c VwVG). Als Verfügungs- resp. Ermahnungsadressatin ist die Beschwerdeführerin demnach beschwerdelegitimiert. Da auch die übrigen Eintretensvoraussetzungen (vgl. Art. 60 in Verbindung mit Art. 38 ff. ATSG, Art. 49 ff. VwVG) zweifellos erfüllt sind und darüber hinaus der Kostenvorschuss fristgerecht geleistet wurde, ist auf die Beschwerden einzutreten.</w:t>
      </w:r>
    </w:p>
    <w:p>
      <w:r>
        <w:rPr>
          <w:b/>
        </w:rPr>
        <w:t>E. 1.6</w:t>
      </w:r>
    </w:p>
    <w:p>
      <w:r>
        <w:t>Die Beschwerdeführerin vertrat die Auffassung, dass die Vorinstanz betreffend die angeblich fehlende Abstützung, Böschung oder Sicherung des Grabens nicht gleichzeitig eine Verfügung nach Art. 64 Abs. 1 VUV sowie eine Ermahnung nach Art. 62 Abs. 1 VUV hätte erlassen dürfen. Die Vor-instanz hingegen stellte sich auf den gegenteiligen Standpunkt. Es trifft zwar zu, dass dem Entscheid des Bundesverwaltungsgericht BVGE 2010/37 nicht zu entnehmen ist, dass neben einer Verfügung keine Ermahnung erlassen werden darf. Jedoch ist - analog zu diesem Entscheid (E. 2.4.4) - auch betreffend das vorliegende Beschwerdeverfahren darauf hinzuweisen, dass bezüglich des in der Verfügung vom 15. Juli 2015 angeführten Sicherheitsmangels eine (zusätzliche) Ermahnung nicht erforderlich gewesen wäre und es genügt hätte, in der Verfügung - wie bei Ermahnungen mit Hinweis auf Art. 92 Abs. 3 UVG (vgl. EKAS-Leitfaden Ziff. 5.3.3 f.) - auf die mögliche Sanktion einer Prämienerhöhung zufolge Versetzung in eine höhere Gefahrenstufe hinzuweisen.</w:t>
      </w:r>
    </w:p>
    <w:p>
      <w:r>
        <w:rPr>
          <w:b/>
        </w:rPr>
        <w:t>E. 1.7</w:t>
      </w:r>
    </w:p>
    <w:p>
      <w:r>
        <w:t>Hinsichtlich der weiteren Ausführungen der Beschwerdeführerin, die Vorinstanz hätte die kantonale Behörde gemäss Art. 68 VUV darum ersuchen müssen, vorsorgliche Massnahmen nach Art. 86 Abs. 2 UVG zu treffen, was jedoch nicht geschehen sei, ist festzuhalten, dass die Zwangsmassnahmen gemäss dem unmissverständlichen Wortlaut von Art. 67 VUV nur in denjenigen Fällen greifen, in welchen vollstreckbaren Verfügungen keine Folge geleistet wird, was vorliegend nicht der Fall gewesen war. Der Passus in Art. 67 Abs. 2 Satz 1 VUV "so ersucht das zuständige Durchführungsorgan die kantonale Behörde (Art. 68), die in Artikel 86 Absatz 2 des Gesetzes vorgesehenen vorsorglichen Massnahmen zu treffen" steht aufgrund des klaren Wortlauts eindeutig im Zusammenhang mit dem Passus in Art. 67 Abs. 1 VUV "wenn nötig unter Beizug der kantonalen Behörde (Art. 68)" und dieser wiederum im Zusammenhang mit einer Sanktion für den Fall, dass ein Arbeitgeber einer vollstreckbaren Verfügung keine Folge leistet. Unter diesen Aspekten und mit Blick auf den Umstand, dass die Beschwerdeführerin - wie bereits dargelegt und von der Vorinstanz bestätigt (vgl. E. 1.5.1.2 hiervor) - der Verfügung vom 15. Juli 2015 Folge geleistet hat, lässt sich nicht beanstanden, dass die Vorinstanz die kantonale Behörde gemäss Art. 68 VUV nicht beigezogen hat.</w:t>
      </w:r>
    </w:p>
    <w:p>
      <w:r>
        <w:rPr>
          <w:b/>
        </w:rPr>
        <w:t>E. 1.8.1</w:t>
      </w:r>
    </w:p>
    <w:p>
      <w:r>
        <w:t>Betreffend die gerügte Verletzung des rechtlichen Gehörs liess die Beschwerdeführerin ausführen, die Vorinstanz habe die Verfügung vom 15. Juli 2015 erlassen, ohne den Rückruf des Bauführers der Baustelle abzuwarten. Die Beschwerdeführerin habe deshalb entgegen den Behauptungen der Vorinstanz zu deren Feststellungen keine Stellungnahme abgeben können. Der Vorinstanz müsste klar sein, dass das rechtliche Gehör weder durch eine kurze Besprechung mit einem zufällig angetroffenen Mitarbeiter der Beschwerdeführerin vor Ort noch durch ein Telefongespräch mit dem Verwaltungsratspräsidenten, welcher mit der betroffenen Baustelle überhaupt nicht vertraut gewesen sei, gewährt werden könne. Die Vorinstanz hingegen vertrat den Standpunkt, dass weder Gesetz noch Verordnung die Möglichkeit für die direkte Besprechung mit dem Bauführer vorsehen würden. Die Suva habe der Beschwerdeführerin mehrfach Gelegenheit eingeräumt, sich zu den Feststellungen zu äussern. Dass die Beschwerdeführerin, aus welchen Gründen auch immer, davon keinen Gebrauch gemacht habe, könne nicht der Vorinstanz angelastet werden. Von einer Verletzung des rechtlichen Gehörs könne somit keine Rede sein.</w:t>
      </w:r>
    </w:p>
    <w:p>
      <w:r>
        <w:rPr>
          <w:b/>
        </w:rPr>
        <w:t>E. 1.8.2</w:t>
      </w:r>
    </w:p>
    <w:p>
      <w:r>
        <w:t>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Entscheid des BGer 8C_834/2013 vom 18. Juli 2014 E. 5.1). 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Beweisergebnis Stellung zu nehmen (BGE 125 V 332 E. 3a).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126 V 130 E. 2b; SVR 2013 IV Nr. 26 S. 76 E. 4.2).</w:t>
      </w:r>
    </w:p>
    <w:p>
      <w:r>
        <w:rPr>
          <w:b/>
        </w:rPr>
        <w:t>E. 1.8.3</w:t>
      </w:r>
    </w:p>
    <w:p>
      <w:r>
        <w:t>In dringenden Fällen ordnet das zuständige Durchführungsorgan, nach Anhörung des Arbeitgebers und der unmittelbar betroffenen Arbeitnehmer, ohne vorgängige Ermahnung die erforderlichen Massnahmen durch Verfügung an (Art. 62 Abs. 2 in Verbindung mit Art. 64 Abs. 1 VUV).</w:t>
      </w:r>
    </w:p>
    <w:p>
      <w:r>
        <w:rPr>
          <w:b/>
        </w:rPr>
        <w:t>E. 1.8.4</w:t>
      </w:r>
    </w:p>
    <w:p>
      <w:r>
        <w:t>Unter den Parteien ist nicht strittig, dass ein sich auf der Baustelle befindlicher Mitarbeiter der Beschwerdeführerin und der Verwaltungsratspräsident der Beschwerdeführerin Gelegenheit zur Stellungnahme gehabt und keine Einwände erhoben hatten. Dass im vorliegenden - gemäss der Auffassung der Vorinstanz dringlichen - Fall lediglich eine mündliche Anhörung erfolgt war, erscheint ohne Weiteres nachvollziehbar. Art. 29 Abs. 2 BV verleiht nicht den Anspruch, sich in einer bestimmten - von der betroffenen Person gewünschten - Form zu äussern (vgl. Michele Albertini, Der verfassungsmässige Anspruch auf rechtliches Gehör im Verwaltungsverfahren des modernen Staates, Bern 2000, S. 336 f.). Unter diesen Umständen kann der Vorinstanz nicht die Verletzung des Rechts auf Gewährung des rechtlichen Gehörs vorgeworfen werden, auch wenn sie den Rückruf des Bauführers der Baustelle nicht abgewartet hatte. Die Vorgehensweise der Vorinstanz lässt sich somit nicht beanstanden.</w:t>
      </w:r>
    </w:p>
    <w:p>
      <w:r>
        <w:rPr>
          <w:b/>
        </w:rPr>
        <w:t>E. 1.8.5</w:t>
      </w:r>
    </w:p>
    <w:p>
      <w:r>
        <w:t>Die Frage nach der Verletzung des rechtlichen Gehörs kann jedoch offengelassen werden, denn selbst wenn davon ausgegangen würde, dass die Vorinstanz den Anspruch auf rechtliches Gehör im Sinne von Art. 29 Abs. 2 BV verletzt hätte, könnte dieser Mangel im vorliegenden Verfahren als geheilt gelten. Dies insbesondere auch unter den Aspekten, dass sich der Rechtsvertreter der Beschwerdeführerin vor dem Bundesverwaltungsgericht - welches über eine volle Kognition verfügt (vgl. E. 1.9 hiernach) - im Rahmen der Beschwerde vom 4. September 2015 (B-act. 1), der Replik vom 4. Dezember 2015 (B-act. 8) sowie der Eingabe vom 30. März 2017 (B-act. 16) ausführlich hatte äussern können und die Rückweisung zu einem formalistischen Leerlauf und damit zu unnötigen Verzögerungen führen würde, die mit dem Interesse der Beschwerdeführerin an einer beförderlichen Beurteilung der Sache nicht zu vereinbaren wären.</w:t>
      </w:r>
    </w:p>
    <w:p>
      <w:r>
        <w:rPr>
          <w:b/>
        </w:rPr>
        <w:t>E. 1.9</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 dem vorstehend Dargelegten bilden Anfechtungsobjekte die Verfügung Arbeitseinstellung vom 15. Juli 2015 und die Ermahnung Stufe 1 vom 16. Juli 2015. In materieller Hinsicht streitig und zu prüfen ist im Folgenden insbesondere, ob sich im fraglichen Zeitpunkt der Graben auf der Baustelle "MFH D._______" in einem sicherheitswidrigen Zustand befunden und ob die Beschwerdeführerin die Schutzhelmtragpflicht verletzt hat. Hinsichtlich der Ausführungen der Vorinstanz, wonach das seitlich deponierte Aushubmaterial eine Gefahrenquelle darstelle resp. dass zumindest auf der linken Seite des Grabens der Abstand nicht eingehalten worden sei, ergibt sich, dass diese Beurteilung weder Gegenstand der angefochtenen Verfügung vom 15. Juli 2015 noch der Ermahnung Stufe 1 vom 16. Juli 2015 war, weshalb darauf nicht näher einzugehen ist. Zu erwähnen ist immerhin, dass Baugruben aufgrund von Art. 55 Abs. 1 und 6 BauAV so auszugestalten sind, dass niemand durch herabfallende oder abrutschende Massen gefährdet wird, und Deponien von Aushub- und Baumaterial so zu erstellen sind, dass niemand gefährdet wird. Insofern sind die entsprechenden, ausserhalb der Anfechtungsobjekte vorgebrachten Argumente der Vorinstanz nachvollziehbar.</w:t>
      </w:r>
    </w:p>
    <w:p>
      <w:r>
        <w:rPr>
          <w:b/>
        </w:rPr>
        <w:t>E. 2.1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w:t>
      </w:r>
    </w:p>
    <w:p>
      <w:r>
        <w:rPr>
          <w:b/>
        </w:rPr>
        <w:t>E. 2.2</w:t>
      </w:r>
    </w:p>
    <w:p>
      <w:r>
        <w:t>Gemäss Art. 55 Abs. 2 BauAV sind Gräben, Schächte und Baugruben von mehr als 1.5 m Tiefe, die nicht verspriesst werden, gemäss Art. 56 BauAV abzuböschen oder durch andere geeignete Massnahmen zu sichern. Nach Art. 56 BauAV sind Böschungsneigungen der Standfestigkeit des Baugrundes anzupassen (Abs. 1). In Sprengfels sowie in homogenem Fels, der mit mechanischen Geräten abbaubar ist (z.B. Sandstein oder Mergel), können die Wände senkrecht ausgebildet werden (Abs. 3). Gemäss Art. 56 Abs. 4 BauAV muss ein Sicherheitsnachweis erbracht werden, wenn: a. die folgenden Verhältnisse zwischen Senkrechte und Waagrechte nicht eingehalten werden können: 1. höchstens 3 : 1 bei gutem verfestigtem, standfestem Material, 2. höchstens 2 : 1 bei mässig verfestigtem, jedoch noch standfestem Material, 3. höchstens 1 : 1 bei rolligem Material; b. die Höhe der Böschung mehr als 4 m beträgt; c. die Böschung voraussichtlich durch Fahrzeuge, Baumaschinen oder Materialdepots zusätzlich belastet wird; d. Hangwasser zutritt oder der Böschungsfuss sich im Grundwasserbereich befindet.</w:t>
      </w:r>
    </w:p>
    <w:p>
      <w:r>
        <w:rPr>
          <w:b/>
        </w:rPr>
        <w:t>E. 2.3.1</w:t>
      </w:r>
    </w:p>
    <w:p>
      <w:r>
        <w:t>Bezüglich des Grabens vertrat die Beschwerdeführerin den Standpunkt, der zu erstellende Graben sei mehr als einen Meter tief gewesen und die lichte Breite habe 80 cm betragen. Die von Art. 55 Abs. 3 Bst. b BauAV geforderte lichte Breite von mindestens 60 cm sowie die Breite des Arbeitsraums gemäss Art. 55 Abs. 4 BauAV von mindestens 60 cm seien stets eingehalten worden. Art. 55 Abs. 2 BauAV verlange ausserdem, dass Gräben von mehr als 1.5 m Tiefe, die nicht verspriesst würden, gemäss Art. 56 BauAV abzuböschen seien. Die Beschwerdeführerin bestreite ausdrücklich die Feststellung der Vorinstanz, der zu erstellende Graben sei nicht abgeböscht gewesen. Der Baugrund, in welchem sich der zu erstellende Graben befunden habe, habe aus hinterfülltem und verdichtetem Material bestanden. Gemäss Art. 56 Abs. 4 Bst. a Ziff. 1 BauAV sei bei gut verfestigtem, standfestem Baugrund kein Sicherheitsnachweis erforderlich, wenn die Böschungsneigung ein Verhältnis zwischen Senkrechte und Waagrechte von 3:1 einhalte. Dieses Verhältnis sei deutlich eingehalten worden. Indem die Vorinstanz behaupte, der von der Beschwerdeführerin zu erstellende Graben mit einer Tiefe von mehr als 1.5 m sei weder abgestützt, abgeböscht noch mit anderen geeigneten Massnahmen gesichert, habe sie den rechtserheblichen Sachverhalt unrichtig festgestellt. Auch sei die Erstellung des Grabens im Zeitpunkt der Baustellenkontrolle noch nicht abgeschlossen gewesen. Die von der Vorinstanz deshalb vorgefundene Böschung des Grabens sei nur vorübergehender Natur gewesen und dürfe nicht als rechtserheblicher Massstab genommen werden. Weiter sei aus dem Fotodossier in der Ermahnung Stufe 1 klar ersichtlich, dass der Graben auf der Baustelle im von Art. 56 BauAV geforderten Verhältnis abgeböscht gewesen sei. Die Vorinstanz lasse jegliche Ausführungen dazu vermissen, um welchen Untergrund es sich beim Graben gehandelt habe und wie stark der Graben von der gemäss Art. 56 Abs. 4 Bst. a BauAV zulässigen Abböschung abweichen soll. Die Begründung in der Vernehmlassung der Vorinstanz, das seitlich deponierte Aushubmaterial stelle eine Gefahrenquelle dar, sei weder in der Ermahnung noch in der Verfügung gerügt worden, sondern sei bloss nachgeschoben worden. Allerdings lasse auch hier die Vorinstanz die Ausführungen dazu vermissen, inwiefern das seitlich deponierte Aushubmaterial gegen Art. 55 BauAV verstossen soll. Die Beschwerdeführerin bestreite ausdrücklich, dass das seitlich deponierte Aushubmaterial eine Gefahrenquelle darstelle. Die vagen Ausführungen der Vorinstanz mit Bezug auf die angeblichen Verletzungen der Vorschriften der BauAV durch die Beschwerdeführerin widersprächen der Berechenbarkeit und Voraussehbarkeit staatlichen Handelns und verletzten letztlich das Gesetzmässigkeitsprinzip. Sie dürften der Beschwerdeführerin nicht zum Nachteil gereichen.</w:t>
      </w:r>
    </w:p>
    <w:p>
      <w:r>
        <w:rPr>
          <w:b/>
        </w:rPr>
        <w:t>E. 2.3.2</w:t>
      </w:r>
    </w:p>
    <w:p>
      <w:r>
        <w:t>Die Vorinstanz hingegen stellte sich auf den Standpunkt, gemäss Art. 55 Abs. 2 BauAV seien alle Gräben, die nicht verspriesst seien, nach Art. 56 BauAV abzuböschen oder durch andere geeignete Massnahmen zu sichern. Die festgestellten Regelverletzungen seien fotografisch dokumentiert. Die Bilder 1 und 2 zeigten klar auf, dass der Graben weder abgestützt, abgeböscht noch mit anderen Massnahmen gesichert gewesen sei, obwohl die Grabentiefe 4 m betragen und ein Arbeitnehmer im Graben Arbeiten ausgeführt habe. Ferner habe das seitlich deponierte Aushubmaterial eine zusätzliche Gefahrenquelle dargestellt. Ein Vergleich mit der Grösse des sich im Graben befindlichen Mitarbeiters zeige, dass die Grabentiefe mehrere Meter betragen habe und überhaupt keine Böschung vorhanden gewesen sei. Es brauche nicht viel Vorstellungsvermögen, um zu merken, dass bei einem Wandsturz das auf der Seite des Grabens gelagerte Material eine zusätzliche Gefahrenquelle darstelle.</w:t>
      </w:r>
    </w:p>
    <w:p>
      <w:r>
        <w:rPr>
          <w:b/>
        </w:rPr>
        <w:t>E. 2.3.3</w:t>
      </w:r>
    </w:p>
    <w:p>
      <w:r>
        <w:t>Mit Blick auf die Abbildungen 1 und 2 laut Fotodossier der Suva besteht kein Zweifel, dass der Graben von über 1.5 m bis zum 15. Juli 2015 nicht verspriesst war. Dieser Umstand hat in Anwendung von Art. 55 Abs. 2 BauAV zur Folge, dass der Graben gemäss Art. 56 BauAV abzuböschen oder durch andere geeignete Massnahmen zu sichern ist. Eine zentrale Rolle im Zusammenhang mit einer Abböschung bzw. mit Böschungsneigungen nimmt dabei die Standfestigkeit des Baugrundes ein (Art. 56 Abs. 1 BauAV).</w:t>
      </w:r>
    </w:p>
    <w:p>
      <w:r>
        <w:rPr>
          <w:b/>
        </w:rPr>
        <w:t>E. 2.3.4.1</w:t>
      </w:r>
    </w:p>
    <w:p>
      <w:r>
        <w:t>Die Beschwerdeführerin liess ausführen, die Ausmasse des von der ihr zu erstellenden Grabens hätten wie folgt gelautet: "Tiefe von 4.0 m, Breite an der Oberkante von 5.0 m". Die später am 30. Mai 2017 erfolgte Beurteilung, in Bezug auf die Grabentiefe handle es sich um eine blosse Schätzung seitens der Vorinstanz (B-act. 16), ist nicht weiter von Relevanz, denn aus der Abbildung 1 resp. aufgrund des Vergleichs mit der Grösse des sich im Graben befindenden Mitarbeiters - was unbestritten geblieben ist - ergibt sich, dass die Tiefe des Grabens jedenfalls mehr als 1.5 m betragen hatte. Gemäss Art. 55 Abs. 2 BauAV ist ein solcher Graben - wenn er nicht verspriesst wird - gemäss Art. 56 BauAV abzuböschen oder durch andere geeigneten Massnahmen zu sichern.</w:t>
      </w:r>
    </w:p>
    <w:p>
      <w:r>
        <w:rPr>
          <w:b/>
        </w:rPr>
        <w:t>E. 2.3.4.2</w:t>
      </w:r>
    </w:p>
    <w:p>
      <w:r>
        <w:t>Da die Beschwerdeführerin anfänglich den Graben nicht verspriesst hatte, ist zu prüfen, ob die Bestimmungen von Art. 56 BauAV eingehalten worden sind. Die Abbildungen 1 und 2 zeigen - nebst der Tiefe - weiter, dass es sich beim Baugrund nicht um Sprengfels oder homogenen Fels gehandelt hat, weshalb die Wände der Grube nicht senkrecht ausgebildet werden durften (Art. 56 Abs. 3 BauAV). Somit muss - sollten die entsprechenden Verhältnisse zwischen Senkrechte und Waagrechte nicht eingehalten werden können - ein Sicherheitsnachweis erbracht werden (Art. 56 Abs. 4 Bst. a Ziff. 1 bis 3 BauAV). Die entsprechenden Verhältniszahlen ergeben sich aus der Beschaffenheit des Materials. Es trifft in Übereinstimmung mit der Beschwerdeführerin zu, dass gemäss Art. 56 Abs. 4 Bst. a Ziff. 1 BauAV bei gut verfestigtem, standfestem Baugrund kein Sicherheitsnachweis erforderlich ist, wenn die Böschungsneigung ein Verhältnis zwischen Senkrechte und Waagrechte von 3:1 einhält. Hinsichtlich dieses Verhältnisses ergibt sich aus den Akten was folgt:</w:t>
      </w:r>
    </w:p>
    <w:p>
      <w:r>
        <w:rPr>
          <w:b/>
        </w:rPr>
        <w:t>E. 2.3.4.3</w:t>
      </w:r>
    </w:p>
    <w:p>
      <w:r>
        <w:t>Entgegen der Auffassung der Vorinstanz zeigen die Bilder 1 und 2 eine Abböschung. Da sich die Vorinstanz weder zur Beschaffenheit des Baugrunds auf der betreffenden Baustelle noch zur Abweichung der gemäss Art. 56 Abs. 4 Bst. a BauAV zulässigen Abböschung geäussert und keine verlässlichen Aufzeichnungen eingereicht hatte, kann die Frage, ob der Graben richtig abgeböscht war resp. ob die Beschwerdeführerin allenfalls aufgrund einer Nichteinhaltung der Verhältnisse zwischen Senkrechte und Waagrechte einen Sicherheitsnachweis gemäss Art. 56 Abs. 4 BauAV hätte erbringen müssen, nicht rechtsgenüglich beantwortet werden. Mit anderen Worten lässt sich der rechtserhebliche Sachverhalt, welcher der vorliegend angefochtenen Verfügung vom 15. Juli 2015 zugrunde liegt, nicht anhand entsprechender vorinstanzlicher Beweismittel erheben. Da die Nichterbringung dieser Beweise nicht von der Beschwerdeführerin, sondern von der Vorinstanz zu verantworten ist (vgl. hierzu BGE 138 V 218 E. 8.1.1 mit zahlreichen Hinweisen), wirkt sich die Beweislosigkeit im Zusammenhang mit dem unvollständig ermittelten Sachverhalt zu deren Ungunsten aus.</w:t>
      </w:r>
    </w:p>
    <w:p>
      <w:r>
        <w:rPr>
          <w:b/>
        </w:rPr>
        <w:t>E. 3</w:t>
      </w:r>
    </w:p>
    <w:p>
      <w:r>
        <w:t>Betreffend die Schutzhelmtragpflicht ergibt sich weiter was folgt:</w:t>
      </w:r>
    </w:p>
    <w:p>
      <w:r>
        <w:rPr>
          <w:b/>
        </w:rPr>
        <w:t>E. 3.1</w:t>
      </w:r>
    </w:p>
    <w:p>
      <w:r>
        <w:t>Gemäss Art. 5 Abs. 1 BauAV müssen die Arbeitnehmerinnen und Arbeitnehmer bei allen Arbeiten, bei denen sie durch herunterfallende Gegenstände oder Materialien gefährdet werden können, einen Schutzhelm tragen. Abs. 2 bestimmt zudem, bei welchen Tätigkeiten in jedem Fall ein Schutzhelm getragen werden muss. Dies gilt gemäss Art. 5 Abs. 2 Bst. c BauAV beim Graben- und Schachtbau sowie beim Erstellen von Baugruben.</w:t>
      </w:r>
    </w:p>
    <w:p>
      <w:r>
        <w:rPr>
          <w:b/>
        </w:rPr>
        <w:t>E. 3.2</w:t>
      </w:r>
    </w:p>
    <w:p>
      <w:r>
        <w:t>Hinsichtlich der Schutzhelmtragpflicht liess die Beschwerdeführerin geltend machen, nur ein Arbeitnehmer der Beschwerdeführerin habe keinen Schutzhelm getragen. Sie bestreite, in diesem Zusammenhang ihre Pflichten gemäss Art. 82 Abs. 1 UVG verletzt zu haben. Sie habe ihre Arbeitnehmer durch präzise Anweisungen, regelmässige Schulungen, Kontrollen und Ermahnungen ausdrücklich zum Tragen der Schutzhelme bei jeder Tätigkeit und zu jedem Zeitpunkt auf allen Baustellen angewiesen. Die Feststellung der Verletzung der Schutzhelmtragpflicht in einem isolierten Ausnahmefall begründe jedoch keineswegs eine Verletzung der Pflichten des Arbeitgebers gemäss Art. 82 Abs. 1 UVG.</w:t>
      </w:r>
    </w:p>
    <w:p>
      <w:r>
        <w:rPr>
          <w:b/>
        </w:rPr>
        <w:t>E. 3.3</w:t>
      </w:r>
    </w:p>
    <w:p>
      <w:r>
        <w:t>Die Vorinstanz vertrat die Ansicht, dass gemäss Art. 5 Abs. 2 Bst. c BauAV beim Graben- und Schachtbau in jedem Fall ein Schutzhelm zu tragen sei. Es sei anerkennenswert, wenn die Beschwerdeführerin ihre Arbeitnehmer durch präzise Anweisungen etc. ausdrücklich zum Tragen der Schutzhelme anweise. Dies entbinde sie jedoch nicht von der in Art. 6 Abs. 3 VUV statuierten Pflicht, dafür zu sorgen, dass die Mitarbeitenden die Massnahmen der Arbeitssicherheit einhielten.</w:t>
      </w:r>
    </w:p>
    <w:p>
      <w:r>
        <w:rPr>
          <w:b/>
        </w:rPr>
        <w:t>E. 3.4</w:t>
      </w:r>
    </w:p>
    <w:p>
      <w:r>
        <w:t>Unter den Parteien ist unbestritten, dass der Bauarbeiter, der sich im Graben befand, keinen Schutzhelm getragen hatte. Es ist deshalb ohne Weiteres von einer Verletzung der Helmtragpflicht auszugehen, welche der Arbeitgeberin anzulasten ist. Dabei spielt es keine Rolle, ob einer oder mehrere Arbeitnehmende keinen Schutzhelm getragen hat, und es ist der Vorinstanz insofern beizupflichten, als die sprachliche Ungenauigkeit nicht weiter von Relevanz ist. Der Einwand der Beschwerdeführerin, sie habe ihre Arbeitnehmer durch präzise Anweisungen etc. ausdrücklich zum Tragen der Schutzhelme angewiesen, vermag nichts daran zu ändern, dass ihr das Versäumnis des Nichttragens eines Schutzhelms anzulasten ist. In diesem Zusammenhang ist die Beschwerdeführerin an Art. 4 Abs. 1 BauAV zu erinnern. Gemäss dieser Verordnungsbestimmung muss der Arbeitgebende auf jeder Baustelle eine Person bezeichnen, die für die Arbeitssicherheit und den Gesundheitsschutz zuständig ist; diese Person kann den Arbeitnehmenden diesbezügliche Weisungen erteilen. Gemäss Art. 4 Abs. 2 BauAV ist von der Baustelle wegzuweisen, wer durch sein Verhalten oder seinen Zustand sich selbst oder andere gefährdet. Demnach entbinden präzise Anweisungen, regelmässige Schulungen, Kontrollen und Ermahnungen sowie die Übertragung von Aufgaben der Arbeitssicherheit den Arbeitgeber nicht von seiner Verantwortung für die Einhaltung der Arbeitssicherheit (vgl. Art. 82 Abs. 1 UVG, Art. 7 Abs. 2 VUV; Urteil des BVGer C-8135/2010 vom 10. Januar 2013 E. 3.2). Schliesslich ist an dieser Stelle ergänzend darauf hinzuweisen, dass das beharrliche Widersetzen im Zusammenhang mit dem Helmobligatorium arbeitsrechtlich als besonders schwere Verfehlung qualifiziert werden kann, die eine Auflösung des Arbeitsverhältnisses rechtfertigt (Urteil des BGer 4C.161/2000 vom 28. Juli 2000 E. 2).</w:t>
      </w:r>
    </w:p>
    <w:p>
      <w:r>
        <w:rPr>
          <w:b/>
        </w:rPr>
        <w:t>E. 4</w:t>
      </w:r>
    </w:p>
    <w:p>
      <w:r>
        <w:t>Aufgrund der vorstehenden Erwägungen ist zusammenfassend festzuhalten, dass aufgrund des vorliegenden Sachverhalts resp. der Akten nicht rechtsgenüglich beurteilt werden kann, ob im fraglichen Zeitpunkt auf der Baustelle betreffend Graben ein sicherheitswidriger Zustand vorgelegen hatte. Da sich die - aus dem durch die Vorinstanz unvollständig ermittelten resp. dokumentierten Sachverhalt resultierende - Beweislosigkeit zugunsten der Beschwerdeführerin auswirkt, ist in Gutheissung der Beschwerde vom 4. September 2015 die Verfügung der Suva vom 15. Juli 2015 aufzuheben. Weiter ist die Ermahnung Stufe 1 vom 16. Juli 2016 betreffend die Feststellung 2 (Gräben) und die Sofortmassnahme (entsprechend der Feststellung 1 und der Sofortmassnahme gemäss der Verfügung vom 15. Juli 2015) in Gutheissung der Beschwerde aufzuheben. Da die Verletzung der Schutzhelmtragpflicht der Beschwerdeführerin anzulasten ist, ist die Beschwerde gegen die Ermahnung Stufe 1, Feststellung 1, abzuweisen. Bei diesem Ergebnis erübrigen sich Weiterungen hinsichtlich der Ausführungen der Beschwerdeführerin, wonach die Erstellung des Grabens im Zeitpunkt der Baustellenkontrolle noch nicht abgeschlossen und die von der Vorinstanz vorgefundene Böschung des Grabens deshalb nur vorübergehender Natur gewesen seien. Weiter ist auch auf die von der Beschwerdeführerin im Rahmen der Eingabe vom 30. März 2017 vorgebrachten Äusserungen im Zusammenhang mit dem Verfahren gemäss EKAS-Leitfaden (Besuchsprotokoll) nicht weiter einzugehen.</w:t>
      </w:r>
    </w:p>
    <w:p>
      <w:r>
        <w:rPr>
          <w:b/>
        </w:rPr>
        <w:t>E. 5</w:t>
      </w:r>
    </w:p>
    <w:p>
      <w:r>
        <w:t>Zu befinden bleibt über die Verfahrenskosten sowie eine allfällige Parteientschädigung.</w:t>
      </w:r>
    </w:p>
    <w:p>
      <w:r>
        <w:rPr>
          <w:b/>
        </w:rPr>
        <w:t>E. 5.1</w:t>
      </w:r>
    </w:p>
    <w:p>
      <w:r>
        <w:t>Der Vorinstanz werden keine Verfahrenskosten auferlegt (Art. 63 Abs. 2 VwVG). Als teilweise unterliegende Partei hat die Beschwerdeführerin nur einen Teil der Verfahrenskosten zu tragen (vgl. Art. 63 Abs. 1 VwVG). Sie werden unter Berücksichtigung des Umfanges und der Schwierigkeit der Streitsache im vorliegenden Verfahren auf Fr. 1000.- festgesetzt (vgl. Art. 63 Abs. 4bis VwVG sowie Art. 1, 2 und 4 des Reglements vom 21. Februar 2008 über die Kosten und Entschädigungen vor dem Bundesverwaltungsgericht [VGKE, SR 173.320.2]) und dem bereits geleisteten Kostenvorschuss in Höhe von Fr. 3'000.- entnommen. Die Restanz von Fr. 2'000.- ist der Beschwerdeführerin nach Eintritt der Rechtskraft des vorliegenden Urteils zurückzuerstatten.</w:t>
      </w:r>
    </w:p>
    <w:p>
      <w:r>
        <w:rPr>
          <w:b/>
        </w:rPr>
        <w:t>E. 5.2</w:t>
      </w:r>
    </w:p>
    <w:p>
      <w:r>
        <w:t>Die teilweise obsiegende, anwaltlich vertretene Beschwerdeführerin hat gemäss Art. 64 Abs. 1 VwVG in Verbindung mit Art. 7 des Reglements vom 21. Februar 2008 über die Kosten und Entschädigungen vor dem Bundesverwaltungsgericht (VGKE, SR 173.320.2) Anspruch auf eine reduzierte Parteientschädigung zu Lasten der Vorinstanz (Art. 64 Abs. 1 VwVG).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4'000.- (inkl. Auslagen und Mehrwertsteuer;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