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C-5426/2009 vom 5. Mai 2010</w:t>
      </w:r>
    </w:p>
    <w:p>
      <w:r>
        <w:t>Bundesverwaltungsgericht, 2010-05-05, DE</w:t>
      </w:r>
    </w:p>
    <w:p>
      <w:r>
        <w:rPr>
          <w:b/>
        </w:rPr>
        <w:t xml:space="preserve">Quelle: </w:t>
      </w:r>
      <w:r>
        <w:t>https://mcp.opencaselaw.ch/entscheid/bvger_C-5426_2009</w:t>
      </w:r>
    </w:p>
    <w:p>
      <w:r>
        <w:t>FR: TAF C-5426/2009 du 5 mai 2010</w:t>
      </w:r>
    </w:p>
    <w:p>
      <w:r>
        <w:t>IT: TAF C-5426/2009 del 5 maggio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Suspension einer Einreisesperre bzw. eines Einreiseverbots, welche vom Bundesverwaltungsgericht endgültig beurteilt werden (Art. 83 Bst. c Ziff. 1 des Bundesgerichtsgesetzes vom 17. Juni 2005 [BGG, SR 173.110]).</w:t>
      </w:r>
    </w:p>
    <w:p>
      <w:r>
        <w:rPr>
          <w:b/>
        </w:rPr>
        <w:t>E. 1.2</w:t>
      </w:r>
    </w:p>
    <w:p>
      <w:r>
        <w:t>Das Gesuch vom 4. März 2009, auf welches sich die angefochtene Verfügung bezieht, wurde nach Inkrafttreten des Bundesgesetzes vom 16. Dezember 2005 über die Ausländerinnen und Ausländer (AuG, SR 142.20) am 1. Januar 2008 eingereicht. Die materielle Beurteilung der vorliegenden Beschwerde erfolgt somit nach der neurechtlichen Regelung, insbesondere Art. 67 AuG (vgl. Art. 126 Abs. 1 AuG e contrario).</w:t>
      </w:r>
    </w:p>
    <w:p>
      <w:r>
        <w:rPr>
          <w:b/>
        </w:rPr>
        <w:t>E. 1.3</w:t>
      </w:r>
    </w:p>
    <w:p>
      <w:r>
        <w:t>Sofern das Verwaltungsgerichtsgesetz nichts anderes bestimmt, richtet sich das Verfahren vor dem Bundesverwaltungsgericht nach dem VwVG (Art. 37 VGG).</w:t>
      </w:r>
    </w:p>
    <w:p>
      <w:r>
        <w:rPr>
          <w:b/>
        </w:rPr>
        <w:t>E. 1.4</w:t>
      </w:r>
    </w:p>
    <w:p>
      <w:r>
        <w:t>Der Beschwerdeführer ist gemäss Art. 48 Abs. 1 VwVG zur Beschwerde berechtigt. Auf die frist- und formgerechte Beschwerde ist einzutreten (Art. 50 - 52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Wie im Sachverhalt (vgl. Bst. E) erwähnt, wurde über den Beschwerdeführer am 11. April 2006 gestützt auf Art. 13 Abs. 1 des bis zum 31. Dezember 2007 geltenden Bundesgesetzes vom 26. März 1931 über Aufenthalt und Niederlassung der Ausländer (ANAG, BS 1 121) eine unbefristete Einreisesperre verhängt. Diese Verfügung erwuchs unangefochten in Rechtskraft. Ein am 27. September 2006 gestelltes Wiedererwägungsgesuch blieb erfolglos (vgl. das Urteil des Bundesverwaltungsgerichts C-88/2006 vom 13. Juni 2007). Eine nach altem Recht verfügte Einreisesperre entspricht dem neurechtlichen Einreiseverbot nach Art. 67 AuG (vgl. ANDREAS ZÜND/LADINA ARQUINT HILL in: Peter Uebersax/Beat Rudin/Thomas Hugi Yar/Thomas Geiser [Hrsg.], Ausländerrecht, Handbücher für die Anwaltspraxis, Band VIII, 2. Aufl., Basel 2009, Rz. 8.80, sowie das Urteil des Bundesverwaltungsgerichts C-1286/2008 vom 7. Juli 2008 E. 4.1; vgl. auch die Botschaft zum Bundesgesetz über die Ausländerinnen und Ausländer vom 8. März 2002, BBl 2002 3709 ff., 3813). Während der Geltungsdauer einer solchen Fernhaltemassnahme ist der betroffenen ausländischen Person jegliches Betreten des Staatsgebiets ohne ausdrückliche Ermächtigung des BFM untersagt (vgl. Art. 5 Abs. 1 Bst. d sowie Art. 67 Abs. 4 AuG; ZÜND/ARQUINT HILL, a.a.O., Rz. 8.82). Gemäss Art. 67 Abs. 4 AuG kann ein Einreiseverbot vorübergehend aufgehoben werden, wenn wichtige Gründe es rechtfertigen. Solche werden praxisgemäss angenommen, wenn die Anwesenheit des Betroffenen in der Schweiz im öffentlichen Interesse liegt oder aus wichtigen persönlichen bzw. zwingenden humanitären Überlegungen notwendig oder geboten erscheint. In diesem Zusammenhang sind die Umstände, die zum Erlass der Fernhaltemassnahme geführt haben, gebührend zu berücksichtigen (vgl. Ziff. 8.6.2.2 der AuG-Weisungen des BFM, online zu finden unter www.bfm.admin.ch &gt; Dokumentation &gt; Rechtliche Grundlagen &gt; Weisungen und Kreisschreiben &gt; I. Ausländerbereich &gt; 8 Entfernungs- und Fernhaltemassnahmen). Je gravierender sie erscheinen, desto gewichtiger und augenfälliger müssen sich die Interessen des Beschwerdeführers an der vorübergehenden Aufhebung des Einreiseverbots darstellen (vgl. zum Ganzen bereits das im Sachverhalt [Bst. H] erwähnte Urteil des Bundesverwaltungsgerichts C-7264/2007 vom 22. April 2008 E. 3.2). Fernhaltegründe und Gründe, welche für die Suspension der Massnahme sprechen, stehen daher insofern in einem Korrelationsverhältnis.</w:t>
      </w:r>
    </w:p>
    <w:p>
      <w:r>
        <w:rPr>
          <w:b/>
        </w:rPr>
        <w:t>E. 4</w:t>
      </w:r>
    </w:p>
    <w:p>
      <w:r>
        <w:t>Der Beschwerdeführer begründet das vorliegende Gesuch um Suspendierung der Einreisesperre mit seiner familiären Situation einerseits und mit den hängigen Sozialversicherungsverfahren, deren Abschluss medizinische Untersuchungen bzw. seine Begutachtung in der Schweiz und folglich seine Einreise erforderlich machten, andererseits. Er macht geltend, das eingeleitete Aufenthaltsverfahren (sein wiederholt erklärtes Ziel ist es, mit seiner Familie in der Schweiz zusammenleben zu können) spreche nicht gegen die Suspendierung. Beschwerdeweise wendet er in diesem Zusammenhang insbesondere ein, angesichts dieses hängigen Verfahrens habe er vielmehr jegliches Interesse daran, sich gesetzeskonform zu verhalten und sich insbesondere auch an die Befristung einer ihm allenfalls gewährten Suspension zu halten.</w:t>
      </w:r>
    </w:p>
    <w:p>
      <w:r>
        <w:rPr>
          <w:b/>
        </w:rPr>
        <w:t>E. 5</w:t>
      </w:r>
    </w:p>
    <w:p>
      <w:r>
        <w:t>Im Folgenden ist daher zu prüfen, ob wichtige Gründe gemäss Art. 67 Abs. 4 AuG vorliegen, welche es rechtfertigen, die bestehende Einreisesperre vorübergehend aufzuheben. Dabei ist - dem Dargelegten entsprechend - zu beachten, dass eine vorübergehende Aufhebung der Fernhaltemassnahme in Anbetracht der früheren massiven Delinquenz des Beschwerdeführers lediglich bei Vorliegen ganz erheblicher privater Interessen seinerseits in Betracht kommen würde.</w:t>
      </w:r>
    </w:p>
    <w:p>
      <w:r>
        <w:rPr>
          <w:b/>
        </w:rPr>
        <w:t>E. 5.1</w:t>
      </w:r>
    </w:p>
    <w:p>
      <w:r>
        <w:t>Wie erwähnt beruft sich der Beschwerdeführer - wie bereits im Verfahren C-7264/2007 - auf sein von Art. 8 EMRK und Art. 13 BV geschütztes Recht auf ein von staatlichen Eingriffen ungestörtes Familienleben. Er macht in diesem Zusammenhang geltend, seit seiner Haftentlassung im November 2005, also seit nunmehr mehr als vier Jahren, habe er sich klaglos verhalten. Er bringt zudem - unter Verweis auf die Ausführungen im Urteil vom 22. April 2008 (E. 5.1) - vor, eine (ihm letztmals im Jahre 2006 gewährte Suspension) dürfe nicht über längere Zeit verweigert werden, da dies zu einer unzulässigen Aushöhlung von Art. 8 EMRK und Art. 13 BV führen könnte. Es sei für seine Familie sehr wichtig, sich wieder einmal in der Schweiz zusammenfinden zu können. Zunächst kann in diesem Zusammenhang grundsätzlich auf die allgemeinen Ausführungen im Urteil des Bundesverwaltungsgerichts C-7264/2007 vom 22. April 2008 verwiesen werden (vgl. die E. 4.2 f. sowie E. 5.1 - 5.3 sowie die dort angeführten weiteren Hinweise). Namentlich ist daran zu erinnern, dass die EMRK und die BV kein Recht auf Einreise oder auf ein Familienleben an einem bestimmten Ort garantieren. Die im Urteil vom 22. April 2008 vorgenommene Einschätzung und insbesondere auch die Interessenabwägung erfolgten gestützt auf die damalige Sachlage. Die jenem Urteil zugrundeliegende Suspensionsverweigerung war trotz der bestehenden privaten Interessen insbesondere mit Blick auf die - eingedenk der langen Freiheitsstrafen, zu welchen der Beschwerdeführer verurteilt worden war - noch nicht als hinreichend erachtete Bewährungszeit von damals erst zweieinhalb Jahren seit der letztmaligen Haftentlassung am 11. November 2005 als zulässig und angemessen beurteilt worden. Auch zum aktuellen Zeitpunkt ist angesichts der der Verhängung der Einreisesperre zugrundeliegenden Verurteilungen bzw. der entsprechenden Delikte nach wie vor von einem erheblichen öffentlichen Interesse an der Fernhaltung des Beschwerdeführers auszugehen. Inzwischen beträgt die Bewährungszeit jedoch beinahe viereinhalb Jahre, in welchen er - soweit aus den Akten ersichtlich - nicht mehr delinquiert, sondern sich vielmehr rechtskonform verhalten hat. Im Übrigen ist in diesem Zusammenhang in grundsätzlicher Weise darauf hinzuweisen, dass die Bewilligung einer Suspension nicht den gänzlichen Wegfall der ursprünglichen Fernhaltegründe voraussetzt, davon auch nicht abhängen kann (diesfalls würde nämlich gar eine wiedererwägungsweise Aufhebung der Fernhaltemassnahme in Betracht fallen). Letztmals wurde dem Beschwerdeführer im Mai 2006 eine Suspension der Fernhaltemassnahme bewilligt (nach zwei daraufhin gestellten und gutgeheissenen Erstreckungsgesuchen reiste er, wie erwähnt, im Oktober 2006 aus); sämtliche folgenden Gesuche wurden abgewiesen. Die letzte Suspension liegt somit mittlerweile vier Jahre zurück, während welchen Zusammenkünfte der Familie lediglich im Ausland stattfinden konnten. Mit zunehmendem Zeitablauf ist auch das private Interesse des Beschwerdeführers an der Möglichkeit eines zeitweiligen Zusammenfindens der Familie in der Schweiz gewachsen; gegenwärtig fällt es daher seinerseits erheblich ins Gewicht. Die Vorinstanz hat denn auch das Bestehen von wichtigen, für die vorübergehende Aufhebung der Suspension sprechenden Gründen im Sinne von Art. 67 Abs. 4 AuG in der angefochtenen Verfügung nicht in Abrede gestellt, sondern vielmehr festgehalten, dass sie die Voraussetzungen für die Erteilung einer Suspension für eine kurze, klar begrenzte Zeit "grundsätzlich als erfüllt erachten" würde. Die Verweigerung der Suspension begründete das BFM lediglich mit dem Argument, der Beschwerdeführer strebe offensichtlich einen dauernden Aufenthalt an und biete daher (namentlich angesichts des im Kanton Zürich hängigen Aufenthaltsverfahrens) nicht genügend Gewähr für eine anstandslose und fristgerechte Wiederausreise. Was die damit angesprochenen sogenannten "Festsetzungstendenzen" des Beschwerdeführers anbelangt, ist zunächst hinsichtlich der im Jahre 2006 beantragten Verlängerungen der Suspensionsbewilligung zu präzisieren, dass diese im Zusammenhang mit medizinischen und physiotherapeutischen Nachbehandlungen standen (im Zuge der vorgenommenen Operation). Die Erstreckungsgesuche waren jeweils rechtzeitig eingereicht worden und der Beschwerdeführer hat die Schweiz letztlich auch rechtzeitig, d.h. innerhalb der festgesetzten Ausreisefrist, verlassen. Wie er bzw. sein Rechtsvertreter wiederholt offen dargelegt hat, verfolgt er längerfristig tatsächlich das Ziel, sich wieder dauerhaft bei seiner Familie in der Schweiz aufzuhalten. Aus diesem Grund hat er im Februar vergangenen Jahres im Kanton Zürich um Erteilung einer Aufenthaltsbewilligung ersucht. Gerade angesichts dieses hängigen Verfahrens bzw. im Hinblick auf dieses verfolgte Ziel hat der Beschwerdeführer - wie er selbst richtig erkannt hat - jedoch alles Interesse daran, sich keinerlei Verstösse gegen die schweizerische Rechtsordnung (beispielsweise in der Form einer Widerhandlung gegen Art. 115 Abs. 1 Bst. b AuG [rechtswidriger Aufenthalt]) mehr zuschulden kommen zu lassen. Ist das hängige Aufenthaltsverfahren daher zwar möglicherweise nicht gerade als für die gesicherte Wiederausreise sprechend zu bezeichnen, so ist es doch in der gegenwärtigen Situation des Beschwerdeführers in der Tat auch nicht als einer Bewilligung der Suspension entgegenstehend zu betrachten. Angesichts namentlich dieser manifesten privaten Interessen des Beschwerdeführers, sich (erstmals nach beinahe vier Jahren) für einen Besuchsaufenthalt zu seiner Familie in die Schweiz begeben zu können, vermag bereits aus diesem Grund das öffentliche Interesse an seiner Fernhaltung eine Verweigerung der Suspension zum gegenwärtigen Zeitpunkt nicht mehr zu rechtfertigen.</w:t>
      </w:r>
    </w:p>
    <w:p>
      <w:r>
        <w:rPr>
          <w:b/>
        </w:rPr>
        <w:t>E. 5.2</w:t>
      </w:r>
    </w:p>
    <w:p>
      <w:r>
        <w:t>Wie bereits im Sachverhalt (Bst. I) erwähnt, hiess das Sozialversicherungsgericht des Kantons Zürich mit Urteil vom 29. Februar 2008 die gegen den (unter anderem die Einstellung der Taggeldleistungen per 30. November 2006 bestätigenden) Einspracheentscheid der SUVA vom 13. April 2007 erhobene Beschwerde in dem Sinne gut, als der Sozialversicherer dazu verpflichtet wurde, den Beschwerdeführer mit Blick auf seine Arbeitsfähigkeit und deren zeitlichen Verlauf erneut begutachten zu lassen und daraufhin über seinen Anspruch auf Taggeldleistungen für die Zeit nach dem 30. November 2006 neu zu befinden (vgl. S. 7 f. des Urteils). Bemühungen der SUVA, eine solche Begutachtung im Herkunftsland des Beschwerdeführers in die Wege zu leiten, blieben erfolglos: In einer E-Mail vom 25. August 2009 hielt sie fest, im Kosovo seien "keine Gutachter auf diesem Bereich" tätig. Aufgrund der Identität des Invaliditätsbegriffs im Invaliden- und im Unfallversicherungsrecht war zudem das beim Bundesverwaltungsgericht hängige IVG-Verfahren - wie ebenfalls bereits im Sachverhalt (vgl. Bst. J) erwähnt - bis zum rechtskräftigen Abschluss des UVG-Verfahrens sistiert worden (vgl. die Zwischenverfügung vom 20. Dezember 2007 sowie die diese Sistierung nach Fällung des Urteils vom 29. Februar 2008 bestätigende Verfügung des Bundesverwaltungsgerichts vom 11. März 2008). Somit ist ein Abschluss letztlich beider sozialversicherungsrechtlicher Verfahren erst nach einer lediglich in der Schweiz durchführbaren persönlichen Untersuchung und Begutachtung des Beschwerdeführers möglich, setzt ein solcher also notwendig dessen Anwesenheit hierzulande voraus. Damit besteht an seiner Einreise bzw. an der Suspendierung der bestehenden Fernhaltemassnahme zum aktuellen Zeitpunkt - über das private Interesse des Beschwerdeführers hinaus - auch ein gewichtiges, öffentliches Interesse, insbesondere auch eingedenk dessen, dass die beiden Verfahren bereits seit geraumer Zeit hängig sind (das UVG-Verfahren wohl seit Mai 2007, das IVG-Verfahren seit November 2007).</w:t>
      </w:r>
    </w:p>
    <w:p>
      <w:r>
        <w:rPr>
          <w:b/>
        </w:rPr>
        <w:t>E. 5.3</w:t>
      </w:r>
    </w:p>
    <w:p>
      <w:r>
        <w:t>Zusammenfassend ist festzuhalten, dass zum gegenwärtigen Zeitpunkt vom Vorliegen hinreichend gewichtiger Gründe im Sinne von Art. 67 Abs. 4 AuG auszugehen ist. Dies einerseits aufgrund der Erforderlichkeit der Anwesenheit des Beschwerdeführers in der Schweiz im Hinblick auf den Abschluss hierzulande hängiger Gerichtsverfahren, andererseits aufgrund des Umstandes, dass Zusammenkünfte der Familie seit mehreren Jahren lediglich im Ausland haben stattfinden können, während sich der Beschwerdeführer im gleichen Zeitraum bewährt zu haben scheint. An der Möglichkeit der Einreise des Beschwerdeführers in die Schweiz und damit an der Suspension bestehen daher zum aktuellen Zeitpunkt erhebliche - sowohl öffentliche als auch private - Interessen. In Anbetracht der vorstehenden Ausführungen erscheint es jedoch als angezeigt, dass die Vorinstanz die Suspension erst zum Zeitpunkt, wenn und im Hinblick darauf gewährt, dass der Beschwerdeführer eine Bestätigung hinsichtlich eines für die Vornahme der in Frage stehenden medizinischen Untersuchungen vereinbarten Termins vorlegt. Es steht ihr zudem frei, die entsprechende Bewilligung mit (weiteren) Auflagen und Bedingungen zu verknüpfen. Der Beschwerdeführer seinerseits wird durch eine fristgerechte Wiederausreise den Tatbeweis für seine wiederholt geäusserte Bereitschaft, die Schweiz nach einem kurzen Besuchsaufenthalt wieder zu verlassen bzw. sich an die Auflagen und Bedingungen einer solchen Bewilligung zu halten, zu erbringen haben.</w:t>
      </w:r>
    </w:p>
    <w:p>
      <w:r>
        <w:rPr>
          <w:b/>
        </w:rPr>
        <w:t>E. 6</w:t>
      </w:r>
    </w:p>
    <w:p>
      <w:r>
        <w:t>Zusammenfassend ist festzustellen, dass die Vorinstanz die vorübergehende Suspendierung der Einreisesperre zu Unrecht verweigert und damit Bundesrecht verletzt hat (Art. 49 VwVG). Die Beschwerde ist demzufolge - jedoch im Sinne der Erwägungen - gutzuheissen.</w:t>
      </w:r>
    </w:p>
    <w:p>
      <w:r>
        <w:rPr>
          <w:b/>
        </w:rPr>
        <w:t>E. 7</w:t>
      </w:r>
    </w:p>
    <w:p>
      <w:r>
        <w:t>Bei diesem Ausgang des Verfahrens sind keine Kosten aufzuerlegen (Art. 63 Abs. 1 VwVG e contrario sowie Abs. 2) und dem Beschwerdeführer ist daher der geleistete Kostenvorschuss zurückzuerstatten. In Anwendung von Art. 64 Abs. 1 VwVG i.V.m. Art. 7 ff. des Reglements vom 21. Februar 2008 über die Kosten und Entschädigungen vor dem Bundesverwaltungsgericht (VGKE, SR 173.320.2) ist ihm eine Parteientschädigung zuzusprechen. Diese ist gestützt auf Art. 14 Abs. 1 und 2 VGKE aufgrund der Akten auf CHF 600.- (inkl. Auslagen und MWST) festzusetzen. Dispositiv S.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