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C-5424/2008 vom 13. November 2009</w:t>
      </w:r>
    </w:p>
    <w:p>
      <w:r>
        <w:t>Bundesverwaltungsgericht, 2009-11-13, FR</w:t>
      </w:r>
    </w:p>
    <w:p>
      <w:r>
        <w:rPr>
          <w:b/>
        </w:rPr>
        <w:t xml:space="preserve">Quelle: </w:t>
      </w:r>
      <w:r>
        <w:t>https://mcp.opencaselaw.ch/entscheid/bvger_C-5424_2008</w:t>
      </w:r>
    </w:p>
    <w:p>
      <w:r>
        <w:t>FR: TAF C-5424/2008 du 13 novembre 2009</w:t>
      </w:r>
    </w:p>
    <w:p>
      <w:r>
        <w:t>IT: TAF C-5424/2008 del 13 novembre 2009</w:t>
      </w:r>
    </w:p>
    <w:p>
      <w:pPr>
        <w:pStyle w:val="Heading2"/>
      </w:pPr>
      <w:r>
        <w:t>Regeste</w:t>
      </w:r>
    </w:p>
    <w:p>
      <w:r>
        <w:t>Droit de cité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naturalisation facilitée rendues par l'ODM - lequel constitue une unité de l'administration fédérale telle que définie à l'art. 33 let. d LTAF - sont susceptibles de recours au Tribunal.</w:t>
      </w:r>
    </w:p>
    <w:p>
      <w:r>
        <w:rPr>
          <w:b/>
        </w:rPr>
        <w:t>E. 1.3</w:t>
      </w:r>
    </w:p>
    <w:p>
      <w:r>
        <w:t>A moins que la LTAF n'en dispose autrement, la procédure devant le Tribunal est régie par la PA (art. 37 LTAF).</w:t>
      </w:r>
    </w:p>
    <w:p>
      <w:r>
        <w:rPr>
          <w:b/>
        </w:rPr>
        <w:t>E. 1.4</w:t>
      </w:r>
    </w:p>
    <w:p>
      <w:r>
        <w:t>A._______ a qualité pour recourir (cf. art. 48 al. 1 PA). Le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qu'en l'espèce, le Tribunal n'a pas seulement à déterminer si la décision de l'ODM respecte les règles de droit, mais également si elle constitue une solution adéquate eu égard aux faits (cf. ANDRÉ MOSER, MICHAEL BEUSCH, LORENZ KNEUBÜHLER, Prozessieren vor dem Bundesverwaltungsgericht, Bâle 2008, note marginale 2.192).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w:t>
      </w:r>
    </w:p>
    <w:p>
      <w:r>
        <w:t>Dans le cas d'espèce, le recourant fait valoir préliminairement (cf. mémoire de recours, pp. 4 et 5) que l'ODM s'est rendu coupable d'un déni de justice au sens de l'art. 46a PA, en ce sens qu'il aurait sans raison tardé à statuer, et a violé ce faisant ses droits découlant de l'art. 29 al. 1 de la Constitution fédérale de la Confédération suisse du 18 avril 1999 (Cst., RS 101).</w:t>
      </w:r>
    </w:p>
    <w:p>
      <w:r>
        <w:rPr>
          <w:b/>
        </w:rPr>
        <w:t>E. 3.1</w:t>
      </w:r>
    </w:p>
    <w:p>
      <w:r>
        <w:t>Aux termes de l'art. 29 al. 1 Cst, toute personne a droit, dans une procédure judiciaire ou administrative, à ce que sa cause soit traitée équitablement et jugée dans un délai raisonnable.</w:t>
      </w:r>
    </w:p>
    <w:p>
      <w:r>
        <w:rPr>
          <w:b/>
        </w:rPr>
        <w:t>E. 3.2</w:t>
      </w:r>
    </w:p>
    <w:p>
      <w:r>
        <w:t>Le recours est recevable si, sans en avoir le droit, l'autorité saisie s'abstient de rendre une décision sujette à recours ou tarde à le faire (art. 46a PA).</w:t>
      </w:r>
    </w:p>
    <w:p>
      <w:r>
        <w:rPr>
          <w:b/>
        </w:rPr>
        <w:t>E. 3.3</w:t>
      </w:r>
    </w:p>
    <w:p>
      <w:r>
        <w:t>L'art. 29 al. 1 Cst. garantit, comme exigence minimale dans une procédure judiciaire ou administrative, le droit à ce qu'une décision soit prise dans un délai raisonnable. L'art. 6 par. 1 de la convention du 4 novembre 1950 de sauvegarde des droits de l'homme et des libertés fondamentales (CEDH, RS 0.101) garantit le même droit, c'est à dire que les contestations sur des droits et des obligations de caractère civil doivent être jugées dans un délai raisonnable (arrêt du Tribunal fédéral 1A.169/2004 du 18 octobre 2004, publié in Pra 2005 no 58 p. 447; LORENZ MEYER, Das Rechtsverzögerungsverbot nach Art. 4 BV, thèse Berne 1982, p. 7 et 34).</w:t>
      </w:r>
    </w:p>
    <w:p>
      <w:r>
        <w:rPr>
          <w:b/>
        </w:rPr>
        <w:t>E. 3.4</w:t>
      </w:r>
    </w:p>
    <w:p>
      <w:r>
        <w:t>Le caractère raisonnable de la durée d'une procédure ne peut pas être fixé de manière absolue, mais doit être apprécié dans chaque cas d'espèce en tenant compte de toutes les circonstances et de l'ensemble de la procédure (arrêt du Tribunal fédéral 12T_1/2007 du 29 mai 2007 consid. 3.3). Sont ainsi notamment à prendre en considération le degré de complexité de l'affaire, le temps qu'exige l'instruction de la procédure (JEAN-FRANÇOIS AUBERT/PASCAL MAHON, Petit commentaire de la Constitution fédérale de la Confédération suisse du 18 avril 1999, Zurich 2003, MAHON ad art. 29 n° 4), l'enjeu que revêt le litige pour l'intéressé ainsi que le comportement de ce dernier et des autorités compétentes. On ne saurait toutefois reprocher à celles-ci quelques « temps morts » qui sont inévitables dans une procédure. Lorsqu'aucun d'eux n'est d'une durée vraiment choquante, c'est l'appréciation d'ensemble qui prévaut (cf. ATF 130 IV 54 consid. 3.3.3 et la référence citée). Il n'est pas important de savoir sur quels motifs est fondée la durée excessive de la procédure; est uniquement déterminant le fait que l'autorité n'agit pas ou pas dans les délais. Lors du constat d'une durée excessive de la procédure, il faut examiner si les circonstances qui ont conduit à la prolongation de la procédure sont objectivement justifiées (ATF 125 V 188 consid. 2a, 117 Ia 193 consid. 1c, 108 V 13 consid. 4c, 107 Ib 160 consid. 3b, 103 V 190 consid. 3c; GEORG MÜLLER, in: Kommentar BV, n. 92 ss ad. art. 4 Cst.).</w:t>
      </w:r>
    </w:p>
    <w:p>
      <w:r>
        <w:rPr>
          <w:b/>
        </w:rPr>
        <w:t>E. 3.5</w:t>
      </w:r>
    </w:p>
    <w:p>
      <w:r>
        <w:t>En l'espèce, A._______ a déposé le 16 avril 2007 une demande de naturalisation facilitée sur laquelle l'ODM s'est prononcé le 18 juillet 2008. Les diverses étapes de la procédure qui se sont succédées entre ces deux dates ont été relevées avec précision au chiffre IV.2 de l'acte de recours. Le Tribunal de céans n'y décèle aucun temps mort qui puisse prêter à discussion et il apparaît que la durée totale de la procédure est raisonnable, au vu des nombreux actes d'instruction rendus nécessaires par la nature de la présente affaire. Aussi la conclusion du recourant visant à dire et à constater que l'ODM « s'est rendu coupable » dans le dossier de la cause d'un déni de justice (cf. mémoire de recours, p. 2) doit-elle être écartée.</w:t>
      </w:r>
    </w:p>
    <w:p>
      <w:r>
        <w:rPr>
          <w:b/>
        </w:rPr>
        <w:t>E. 4</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Dans le cas présent, A._______ a contracté mariage le 31 octobre 1981. A la suite de cette union, il a été mis au bénéfice d'une autorisation de séjour régulière dans le canton de Neuchâtel, valable jusqu'au 7 janvier 2010 (cf. rapport de renseignement établi par la police cantonale neuchâteloise le 7 juillet 2007). L'intéressé remplit donc manifestement les conditions temporelles fixée à l'art. 27 al. 1 LN. Il appert cependant des pièces du dossier que l'intéressé s'est constitué un domicile séparé de son épouse depuis le mois de décembre 2004, si l'on se réfère audit rapport de police (cf. page 1). Il convient donc d'examiner encore si les époux forment toujours une communauté conjugale au sens de cette disposition.</w:t>
      </w:r>
    </w:p>
    <w:p>
      <w:r>
        <w:rPr>
          <w:b/>
        </w:rPr>
        <w:t>E. 4.2</w:t>
      </w:r>
    </w:p>
    <w:p>
      <w:r>
        <w:t>A ce dernier égard, il sied de noter que le législateur fédéral, lorsqu'il a créé l'institution de la naturalisation facilitée en faveur du conjoint étranger d'un ressortissant suisse, avait en vue la conception du mariage telle qu'il l'avait définie dans les dispositions du Code civil suisse du 10 décembre 1907 (CC, RS 210)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 aux conditions prévues aux art. 27 et art. 28 LN - l'octroi de la naturalisation facilitée au conjoint d'un ressortissant suisse (Jurisprudence des autorités administratives de la Confédération [JAAC] 67.104 et 67.103). C'est le lieu de préciser qu'il convient d'opérer une nette distinction entre la naturalisation facilitée et la naturalisation ordinaire.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qu'il forme avec ce dernier une communauté conjugale solide telle que définie ci-dessus, s'accoutumera plus rapidement au mode de vie et aux usages suisses qu'un étranger n'ayant pas un conjoint suisse et qui demeure soumis aux dispositions de la naturalisation (cf. Message du Conseil fédéral relatif à la modification de la loi sur la nationalité du 26 août 1987 in Feuille fédérale [FF] 1987 II 300ss, ad art. 26 et art. 27 du projet). Une communauté conjugale au sens de l'art. 27 al. 1 let. c LN, et par ailleurs au sens de l'art. 28 al.1 let. a LN, suppose donc l'existence, au moment de la décision de naturalisation facilitée, d'une volonté matrimoniale intacte et orientée vers l'avenir, autrement dit la ferme intention des époux de poursuivre la communauté conjugale au-delà de la décision de naturalisation facilitée. La communauté conjugale telle que définie ci-dessus doit non seulement exister au moment du dépôt de la demande, mais doit subsister pendant toute la procédure jusqu'au prononcé de la décision sur la requête de naturalisation facilitée (ATF 130 II 482 consid. 2).</w:t>
      </w:r>
    </w:p>
    <w:p>
      <w:r>
        <w:rPr>
          <w:b/>
        </w:rPr>
        <w:t>E. 4.3</w:t>
      </w:r>
    </w:p>
    <w:p>
      <w:r>
        <w:t>Il suit des considérants qui précèdent qu'un mariage formel ne suffit pas pour obtenir la naturalisation facilitée. Le fait que le recourant habite en Suisse depuis 1981, qu'il est désormais marié depuis vingt-huit ans avec une citoyenne de ce pays, qu'il est père de deux enfants suisses et que tous les membres de la famille « entretiennent des contacts les uns avec les autres » (cf. mémoire de recours, pp. 5 et 6) n'est ainsi pas de nature à démontrer l'effectivité de la communauté conjugale au sens de la jurisprudence constante en matière de naturalisation facilitée. Il est en effet impératif que la communauté conjugale soit souhaitée par les deux conjoints et que ces derniers manifestent la volonté de vivre en communauté conjugale dans le futur, étant précisé qu'en cas de doute sérieux quant à l'existence d'une telle communauté, la naturalisation facilitée peut être refusée. A ce sujet, le Tribunal prend acte de la déclaration du recourant selon laquelle les époux, nonobstant leurs domiciles distincts, « ne sont pas et ne seront jamais divorcés, en raison de leurs convictions religieuses profondes » (ibidem, p. 8), mais ne peut que constater qu'elle ne suffit pas à démontrer que la communauté de vie est tournée vers l'avenir au sens indiqué plus haut (cf. consid. 4.2). A ce stade, il convient donc de constater que les époux vivent actuellement en étant séparés de fait, leur union n'existant plus que formellement. Or, au regard de la jurisprudence évoquée plus haut, seule est déterminante la situation telle qu'elle se présente lorsque l'autorité statue: «Nach dem Wortlaut und Wortsinn der Bestimmung (Art. 27 Abs. 1 Büg)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(cf. ATF 128 II 97 consid. 3a, avec références citées). A cet égard, il importe peu que le recourant, selon ses dires, est « profondément attaché » à la Suisse, pour des raisons à la fois spirituelles et familiales, et que rien ne le rattache plus au pays de ses origines, la France (cf. courrier du 3 août 2009).</w:t>
      </w:r>
    </w:p>
    <w:p>
      <w:r>
        <w:rPr>
          <w:b/>
        </w:rPr>
        <w:t>E. 5.1</w:t>
      </w:r>
    </w:p>
    <w:p>
      <w:r>
        <w:t>Dans sa jurisprudence, le Tribunal fédéral a admis que l'on pouvait, dans des cas exceptionnels, admettre la persistance d'une communauté de vie au sens des art. 27 et 28 LN, même lorsque les époux ont cessé d'avoir un domicile unique. Pour qu'une communauté de vie soit reconnue en pareille circonstance, il est nécessaire, selon cette autorité, que la création de domiciles séparés repose sur des raisons plausibles et que la stabilité du mariage ne soit manifestement pas en cause: « Eine tatsächliche Lebensgemeinschaft kann ausnahmsweise auch bei einer Aufhebung des gemeinsamen Wohnsitzes angenommen werden, wenn der getrennte Wohnsitz auf plausible Gründe zurückzuführen ist, und wenn aufgrund eines gemeinsamen Willens der Ehegatten die Stabilität der Ehe offensichtlich intakt ist ». Selon cette jurisprudence, de telles raisons peuvent consister notamment en des contraintes professionnelles ou de santé (cf. ATF 121 II 49 consid. 2b; cf. également arrêt non publié du Tribunal fédéral 5A.8/1996 du 19 juin 1996 consid. 2b).</w:t>
      </w:r>
    </w:p>
    <w:p>
      <w:r>
        <w:rPr>
          <w:b/>
        </w:rPr>
        <w:t>E. 5.2</w:t>
      </w:r>
    </w:p>
    <w:p>
      <w:r>
        <w:t>En conséquence, il convient d'examiner, d'une part, si la prise de domicile séparé des époux repose sur des motifs plausibles et, d'autre part, si la stabilité de leur union conjugale peut être encore qualifiée d'intacte au sens de la jurisprudence évoquée plus haut.</w:t>
      </w:r>
    </w:p>
    <w:p>
      <w:r>
        <w:rPr>
          <w:b/>
        </w:rPr>
        <w:t>E. 5.2.1</w:t>
      </w:r>
    </w:p>
    <w:p>
      <w:r>
        <w:t>Dans son pourvoi, le recourant avance principalement des motifs médicaux pour justifier sa prise de domicile séparé à Hauterive (en décembre 2004), en soulignant que ceux-ci sont « parfaitement réels » et attestés par son pneumologue. Il ajoute, sur ce point, qu'il est difficile pour quiconque ne souffre pas d'apnées graves du sommeil de se rendre compte de la servitude que constitue le port d'un appareil respiratoire nocturne, en précisant que si cet appareil diminue les ronflements et limite les apnées, il ne les supprime pas pour autant (cf. mémoire de recours, p. 6). Aussi insiste-t-il sur le fait que des circonstances particulières ont fait que les époux ne partagent pas, du moins « pour l'instant », le même domicile, en estimant que celles-ci sont parfaitement plausibles et correspondent à la jurisprudence en la matière (ibidem, p. 7). Le Tribunal estime, à l'instar de l'autorité inférieure, qu'il est douteux que les problèmes de santé mis en avant par le recourant aient été seuls à l'origine de la séparation du couple. Même s'il n'est pas contesté que le port de l'appareil soit « psychologiquement très dur » (cf. mémoire de recours, p. 6) et que pareille contrainte ait pu entraîner des « désagréments pour le conjoint sous forme d'un bruit et de courants d'air » (cf. certificat médical du 13 février 2008), l'examen des pièces du dossier laisse clairement apparaître en effet que d'autres raisons, plus fondamentales, ont dû être à l'origine de la désunion du couple. Ainsi, interrogée sur les motifs de sa séparation d'avec son mari, B._______ a affirmé que les époux ne partageaient plus « la même philosophie de la vie », notamment en ce qui concerne la conception de la famille et de l'éducation des enfants, et que les « quelques soucis de santé » de son mari n'étaient pas « un facteur déterminant vis-à-vis de notre séparation », en ajoutant que celui-ci ne lui avait jamais dit qu'il devait quitter l'appartement en raison de problèmes de santé (cf. procès-verbal d'audition du 21 mai 2008, ch. 1.6 à 1.8). Force est d'admettre dans ces conditions que le grief du recourant, aux termes duquel l'ODM est tombé dans l'arbitraire en refusant de remettre sa « situation précise (...) en perspective par rapport à son accident » (cf. mémoire de recours, p. 7, ch. 14), n'est point justifié et doit être écarté. Partant et sans vouloir minimiser les conséquences que l'accident tragique de 1995 ont pu avoir sur la vie du couple, le Tribunal considère que c'est à bon droit que l'ODM a constaté qu'il n'existait « aucun impératif technique ou sanitaire » à l'éloignement de A._______ du domicile conjugal à Neuchâtel.</w:t>
      </w:r>
    </w:p>
    <w:p>
      <w:r>
        <w:rPr>
          <w:b/>
        </w:rPr>
        <w:t>E. 5.2.2</w:t>
      </w:r>
    </w:p>
    <w:p>
      <w:r>
        <w:t>S'agissant de la question portant sur la stabilité de l'union des époux, le recourant soutient qu'il est abusif de se limiter à tirer argument des seules « rencontres » sporadiques du couple pour estimer que la communauté conjugale n'existe pas ou plus, cela d'autant que l'autorité inférieure ne tient pas compte « des autres contacts, téléphoniques ou écrits, voire même relations intimes, que les époux ont entre eux » (cf. mémoire de recours, p. 6). A ce propos, le Tribunal se bornera à remarquer que le dossier ne contient aucun élément permettant d'attester de l'existence de tels contacts. En revanche, les pièces ressortant du dossier laissent clairement apparaître que l'on peut nourrir de sérieux doutes quant à la stabilité de l'union conjugale des époux. Ainsi, entendue sur l'intensité des contacts qu'elle entretenait avec son conjoint, B._______ a notamment déclaré devant les autorités cantonales ce qui suit: « C'est très variable. Je le rencontre parfois chaque semaine et parfois tous les deux mois. C'est une fréquentation qui n'est pas régulière. Je dois admettre que c'est moi qui essaie de garder une certaine distance » (cf. p.-v. d'audition du 21 mai 2008, ch. 1.11). A la question de savoir si son union conjugale était stable et orientée vers l'avenir, la prénommée a donné la réponse suivante: « Notre union a été stable durant plusieurs années. J'aurais beaucoup de peine à répondre à une telle question. Si mon époux change de philosophie de vie, peut-être les choses pourront s'améliorer. Nous sommes deux à décider » (ibidem, ch. 1.13). De plus, l'intéressée a confirmé lors de la seconde audition que la cadence des contacts entretenus par les époux était très variable et dictée par la survenance d'événements familiaux tels qu'anniversaires ou maladie (cf. p.-v. d'audition du 13 juin 2008, ch. 1). Force est donc d'admettre que les raisons ayant amené l'ODM à nier la stabilité conjugale des époux, condition supplémentaire requise par la jurisprudence pour admettre une exception à l'exigence d'un domicile commun (ATF 121 II 49), ont été développées de manière convaincante par l'autorité inférieure, de sorte que le Tribunal ne peut que confirmer, sur ce point également, les considérants pertinents contenus dans la décision entreprise (cf. p. 6. ch. 3). Cela étant, l'objection soulevée dans le mémoire de recours selon laquelle n'importe quel couple connaît des divergences, quelle que soit la durée du mariage (cf. mémoire de recours, p. 13), n'est point susceptible de modifier l'analyse faite par l'autorité inférieure, dans la mesure où le recourant se perd à l'évidence dans de vagues généralités en invoquant un tel argument. Enfin, la remise en cause par B._______ de la transcription de ses propos dans les procès-verbaux relatifs aux auditions des 21 mai et 13 juin 2008 (cf. courrier du 4 juillet 2008) peut être écartée sans aucune réserve, dans la mesure où elle a elle-même attesté de la conformité de ces pièces en les paraphant à chaque page.</w:t>
      </w:r>
    </w:p>
    <w:p>
      <w:r>
        <w:rPr>
          <w:b/>
        </w:rPr>
        <w:t>E. 5.3</w:t>
      </w:r>
    </w:p>
    <w:p>
      <w:r>
        <w:t>Force est de constater en conclusion que la condition posée par l'art. 27 al. 1 let. c LN ne peut pas être considérée comme réalisée en l'espèce, de sorte que le recourant n'est manifestement pas en mesure de revendiquer l'application de la règle d'exception posée par la jurisprudence fédérale mentionnée plus haut. Partant, le grief tiré d'un abus de pouvoir d'appréciation de la part de l'ODM (cf. mémoire de recours, p. 8) doit être écarté, sans qu'il soit nécessaire, pour le surplus, d'examiner plus en détail les autres arguments invoqués dans le cadre de la procédure de recours.</w:t>
      </w:r>
    </w:p>
    <w:p>
      <w:r>
        <w:rPr>
          <w:b/>
        </w:rPr>
        <w:t>E. 6</w:t>
      </w:r>
    </w:p>
    <w:p>
      <w:r>
        <w:t>Il ressort de ce qui précède que, par sa décision du 18 juillet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et 3 du règlement du 21 février 2008 concernant les frais, dépens et indemnités fixées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