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C-541/2011 vom 16. Mai 2013</w:t>
      </w:r>
    </w:p>
    <w:p>
      <w:r>
        <w:t>Bundesverwaltungsgericht, 2013-05-16, DE</w:t>
      </w:r>
    </w:p>
    <w:p>
      <w:r>
        <w:rPr>
          <w:b/>
        </w:rPr>
        <w:t xml:space="preserve">Quelle: </w:t>
      </w:r>
      <w:r>
        <w:t>https://mcp.opencaselaw.ch/entscheid/bvger_C-541_2011</w:t>
      </w:r>
    </w:p>
    <w:p>
      <w:r>
        <w:t>FR: TAF C-541/2011 du 16 mai 2013</w:t>
      </w:r>
    </w:p>
    <w:p>
      <w:r>
        <w:t>IT: TAF C-541/2011 del 16 maggio 2013</w:t>
      </w:r>
    </w:p>
    <w:p>
      <w:pPr>
        <w:pStyle w:val="Heading2"/>
      </w:pPr>
      <w:r>
        <w:t>Regeste</w:t>
      </w:r>
    </w:p>
    <w:p>
      <w:r>
        <w:t>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und vorliegend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1.3</w:t>
      </w:r>
    </w:p>
    <w:p>
      <w:r>
        <w:t>Die Beschwerde wurde frist- und formgerecht eingereicht (vgl. Art. 38 ff. und Art. 60 ATSG, Art. 52 VwVG). Als Adressatin des Einspracheentscheides vom 21. Dezember 2010 ist die Beschwerdeführerin berührt und hat ein schutzwürdiges Interesse an dessen Aufhebung oder Abänderung (Art. 59 ATSG, Art. 48 Abs. 1 VwVG). Nachdem auch der Kostenvorschuss fristgerecht geleistet worden ist, sind sämtliche Prozessvoraussetzungen erfüllt worden, weshalb auf die Beschwerde vom 17. Januar 2011 einzutreten ist.</w:t>
      </w:r>
    </w:p>
    <w:p>
      <w:r>
        <w:rPr>
          <w:b/>
        </w:rPr>
        <w:t>E. 1.4</w:t>
      </w:r>
    </w:p>
    <w:p>
      <w:r>
        <w:t>Anfechtungsobjekt bildet der Einspracheentscheid der Suva vom 21. Dezember 2010 (act. 64). Streitig und zu prüfen ist, ob der Regressfall (...) bei der Prämienbemessung des Betriebsteils A der Beschwerdeführerin zu Recht berücksichtigt worden ist.</w:t>
      </w:r>
    </w:p>
    <w:p>
      <w:r>
        <w:rPr>
          <w:b/>
        </w:rPr>
        <w:t>E. 1.5.1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1.5.2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w:t>
      </w:r>
    </w:p>
    <w:p>
      <w:r>
        <w:rPr>
          <w:b/>
        </w:rPr>
        <w:t>E. 1.5.3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w:t>
      </w:r>
    </w:p>
    <w:p>
      <w:r>
        <w:rPr>
          <w:b/>
        </w:rPr>
        <w:t>E. 1.5.4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w:t>
      </w:r>
    </w:p>
    <w:p>
      <w:r>
        <w:t>Zunächst sind die bei der Prämientarifgestaltung und der Einreihung der Betriebe in diesen Tarif zu beachtenden wichtigsten gesetzlichen Bestimmungen und massgebenden Grundsätze wiederzugeben.</w:t>
      </w:r>
    </w:p>
    <w:p>
      <w:r>
        <w:rPr>
          <w:b/>
        </w:rPr>
        <w:t>E. 2.1</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2.2</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114 Abs. 1 UVV). Gemäss Art. 115 Abs. 1 UVV werden die Prämien - unter Vorbehalt der in den Bst. a bis d genannten Abweichungen - auf dem versicherten Verdienst im Sinne von Art. 22 Abs. 1 und 2 UVV erhoben. 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 Die Risikogemeinschaften der BUV bestehen bei der SUVA aus Klassen, Unterklassen und Unterklassenteilen (Art. 13 Abs. 1 des ab 1. Januar 2011 gültigen Prämientarifs der Suva, [Reglement des Verwaltungsrats der Suva vom 14. November 2008 betreffend die Einreihungsregeln zur Prämienbemessung in der obligatorischen Unfallversicherung {im Folgenden: Einreihungsregeln 2011}]).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Als Risikoeinheit gelten Betriebe, Betriebsteile und Prämienkonzerne (Art. 7 Abs. 1 der Einreihungsregeln 2011). Die Prämienbemessung erfolgt für jede Risikoeinheit separat (Art. 7 Abs. 2 der Einreihungsregeln 2011). Jedem Unterklassenteil wird im BUV-Grundtarif ein Prämiensatz als sogenannter Basissatz zugeteilt (vgl. Art. 13 Abs. 5 der Einreihungsregeln 2011). Ein Betrieb wird grundsätzlich zum Basissatz im Prämientarif eingereiht, wenn nicht das Bonus-Malus-System (BMS) oder die Erfahrungstarifierung (ET) zur Anwendung kommt. Insbesondere neu bei der SUVA versicherte sowie kleinere Betriebe, bei welchen die Risikoerfahrungen infolge mangelnder Versicherungsdauer fehlen oder diese wegen mangelnder Grösse nicht aussagekräftig sind, werden zum Basissatz eingereiht. Die Suva stellt für die verschiedenen Kundensegmente geeignete Prämienmodelle zur Verfügung. Für Betriebe, welche eine ausreichende statistische Grösse aufweisen, wendet sie Prämienmodelle mit Erfahrungstarifierung an (Art. 19 der Einreihungsregeln). Massgebend für die Bestimmung des anwendbaren Prämienmodells ist die Basisprämie einer Risikoeinheit. Diese berechnet sich aus der Lohnsumme der Risikoeinheit innerhalb der letzten sechs Jahre und dem Basissatz im Bemessungsjahr (Art. 20 der Einreihungsregeln). In der BUV berechnet sich der Nettoprämiensatz bei einer durchschnittlichen Basisprämie zwischen Fr. 5'000 und Fr. 300'000 pro Jahr nach dem BMS 03. Sinkt die Basisprämie einer nach dem BMS 03 eingereihten Risikoeinheit unter 80 % der unteren Grenze, wird sie zum Basissatz eingereiht (Art. 22 Abs. 1 der Einreihungsregeln). Ab einer durchschnittlichen Basisprämie von Fr. 300'000.- pro Jahr je Versicherungszweig gelangt sowohl in der BUV als auch in der NBUV die ET 03 zur Anwendung (Art. 23 Abs. 1 der Einreihungsregeln). Gelangt auf eine Risikoeinheit in einem Versicherungszweig (BUV/NBUV) das ET 03 zur Anwendung, wird im anderen Versicherungszweig ab einer durchschnittlichen Basisprämie von Fr. 100'000.- pro Jahr ebenfalls das ET 03 angewendet (Art. 23 Abs. 2 der Einreihungsregeln).</w:t>
      </w:r>
    </w:p>
    <w:p>
      <w:r>
        <w:rPr>
          <w:b/>
        </w:rPr>
        <w:t>E. 2.3</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der Rekurskommission vom 28. Juni 1996, publiziert in VPB 61.23A_I, E. 4d), sollen doch die Prämieneinnahmen nicht durch übermässige Verwaltungsaufwendungen geschmälert werden. 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2.4</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w:t>
      </w:r>
    </w:p>
    <w:p>
      <w:r>
        <w:rPr>
          <w:b/>
        </w:rPr>
        <w:t>E. 2.5</w:t>
      </w:r>
    </w:p>
    <w:p>
      <w:r>
        <w:t>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w:t>
      </w:r>
    </w:p>
    <w:p>
      <w:r>
        <w:t>Die A._______ AG ist in einen Betriebsteil A, D._______, und einen Betriebsteil B, E._______, eingeteilt. Der Betriebsteil A ist unbestrittenermassen als Betrieb des Bauhauptgewerbes der Klasse 41 A des Prämientarifs zugeteilt. Die Vorinstanz brachte bei der Beschwerdeführerin sodann das Prämienmodell ET 03 zur Anwendung, was unter den Parteien ebenfalls nicht strittig ist und sich mit Blick auf die Verfügung vom 17. September 2010 (act. 51) sowie die Beilage "BUV 2011 Einreihung nach ET 03" und Art. 19, 20 und 23 der ab 1. Januar 2011 gültigen Einreihungsregeln (Beilage zu B-act. 5) auch nicht beanstanden lässt. Nachfolgend ist jedoch zu prüfen, ob die Vorinstanz die BUV-Prämien für das Jahr 2011 insbesondere mit Blick auf den Regressfall (...) korrekt bemessen hat.</w:t>
      </w:r>
    </w:p>
    <w:p>
      <w:r>
        <w:rPr>
          <w:b/>
        </w:rPr>
        <w:t>E. 3.1</w:t>
      </w:r>
    </w:p>
    <w:p>
      <w:r>
        <w:t>Die Vorinstanz begründete den vorliegend angefochtenen Einspracheentscheid insbesondere damit, dass Regresseinnahmen nur dann Eingang in die Prämienbemessung fänden, wenn sie effektiv bei der Suva eingetroffen seien (act. 64). Vernehmlassungsweise gab sie dann am 4. März 2011 verschiedene Bestimmungen der Einreihungsregeln 2011 wieder (B-act. 5).</w:t>
      </w:r>
    </w:p>
    <w:p>
      <w:r>
        <w:rPr>
          <w:b/>
        </w:rPr>
        <w:t>E. 3.2</w:t>
      </w:r>
    </w:p>
    <w:p>
      <w:r>
        <w:t>Im ET werden für die Prämienbemessung die individuellen Risikoerfahrungen der Betriebe im Umfang ihrer Risikokredibilität und ihrer Amortisationskredibilität mitberücksichtigt (Art. 39 Abs. 1 der Einreihungsregeln). Die Risikokredibilität berechnet sich aus der Nettoprämie der vergangenen fünf Jahre dividiert durch die Nettoprämie der vergangenen fünf Jahre plus Fr. 1'500'000.- (Art. 39 Abs. 2 der Einreihungsregeln). Gemäss Beilage 4 zur Verfügung der Suva vom 17. September 2010 (act. 51) beträgt die Risikokredibilität für den Betriebsteil A der Beschwerdeführerin in der BUV 69 %, was gemäss den unbeanstandet gebliebenen Ausführungen der Vorinstanz in deren Vernehmlassung vom 4. März 2011 bedeutet, dass sich der Risikosatz, welcher der Prämienbemessung zu Grunde liegt, zu 69 % aus den Ergebnissen des Betriebs und zu 31 % aus jenen der Risikogemeinschaft zusammensetzt. Massgebend für die Bestimmung der mit einem Betrieb gemachten Risikoerfahrungen sind gemäss Art. 39 Abs. 3 der Einreihungsregeln der während einer Beobachtungsperiode von 15 Jahren entstandene Aufwand für sämtliche Leistungen inklusive der Rückstellungen für die erwarteten zukünftigen Kosten. Das Mass für den Aufwand ist der Risikosatz, welcher in Prozenten der Lohnsumme angegeben wird (vgl. Art. 39 Abs. 5 der Einreihungsregeln). Gemäss Art. 39 Abs. 4 der Einreihungsregeln werden die im Zusammenhang mit Regressfällen eingehenden Zahlungen dem Betrieb gutgeschrieben.</w:t>
      </w:r>
    </w:p>
    <w:p>
      <w:r>
        <w:rPr>
          <w:b/>
        </w:rPr>
        <w:t>E. 3.3.1</w:t>
      </w:r>
    </w:p>
    <w:p>
      <w:r>
        <w:t>Die Vorinstanz legte in ihrer Vernehmlassung vom 4. März 2011 dar, dass Regressfälle deshalb in die Aufwandbetrachtung mit einbezogen würden, weil die Suva den Versicherten auch in solchen Fällen sämtliche im UVG vorgesehenen Leistungen schulde und ihr die entstandenen und zukünftigen Kosten meist erst nach einer gewissen Zeit oder nur teilweise erstattet würden. Die in einem Regressfall angefallenen Kosten stellten daher einen Teil des betrieblichen Risikos dar, auch wenn Drittverschulden vorliege. Diese Argumentation der Suva ist ohne Weiteres nachvollziehbar und zu schützen. Dies gilt auch für die weiteren Erklärungen der Vorinstanz hinsichtlich des - dem Prämienmodell Erfahrungstarifierung ET 03 zu Grunde liegenden - Gedankens.</w:t>
      </w:r>
    </w:p>
    <w:p>
      <w:r>
        <w:rPr>
          <w:b/>
        </w:rPr>
        <w:t>E. 3.3.2</w:t>
      </w:r>
    </w:p>
    <w:p>
      <w:r>
        <w:t>Die Praxis der Suva, wonach der Regressfall bei der Prämienbemessung des Betriebs im Rahmen von dessen Risikokredibilität bis zum Eingang der Zahlungen und im Umfang der nicht gedeckten Regressforderungen berücksichtigt wird, lässt sich - entgegen den Ausführungen der Beschwerdeführerin - nicht beanstanden. Das Vorgehen der Suva ist in Art. 39 Abs. 4 der Einreihungsregeln in diesem Sinne geregelt und von objektiven Überlegungen getragen (vgl. E. 1.5.3 hiervor); durch diese Vorgehensweise sind sowohl das Gleichbehandlungsgebot als auch das Willkürverbot resp. die Prämienbemessungsgrundsätze beachtet worden (vgl. E. 2.3 und 2.4 hiervor). Daraus folgt, dass die Vorinstanz den Regressfall (...) bei der Prämienbemessung des Betriebsteils A zu Recht berücksichtigt hat.</w:t>
      </w:r>
    </w:p>
    <w:p>
      <w:r>
        <w:rPr>
          <w:b/>
        </w:rPr>
        <w:t>E. 3.3.3</w:t>
      </w:r>
    </w:p>
    <w:p>
      <w:r>
        <w:t>Die von der Beschwerdeführerin in ihrer Replik vom 25. März 2011 (B-act. 8) gemachten Ausführungen vermögen am Ergebnis nichts zu ändern. Die Vorinstanz legte duplicando am 2. Mai 2011 einlässlich dar, dass die Unsicherheiten in einem Regressfall nicht nur darin bestehen, ob der haftpflichtige Dritte belangt werden kann, sondern auch, ob die Höhe der Regresszahlung dem Aufwand entspricht und wann die Zahlung geleistet wird. Weiter leuchtet ein, dass der Sachversicherer den Regress mit dem Haftpflichtversicherer aufgrund der Geringfügigkeit des Schadens am Fahrzeug "F._______" (B-act. 8 Beilage 4) eher hatte regeln können als die Suva den Regressfall. Aus der Tatsache, dass der Ehefrau des verstorbenen Mitarbeiters die Todesfallleistung aus der beruflichen Vorsorge (B-act. 8 Beilage 2) sowie das Todesfallkapital aus der UVG-Zusatzversicherung (B-act. 8 Beilage 3) bereits ausbezahlt worden sind, kann die Beschwerdeführerin ebenfalls nichts zu ihren Gunsten ableiten, da der BVG- und UVG-Versicherer zum Schadensabschluss bereit war; dies im Gegensatz zum Schadenregulierer, welcher den Regress nicht abschliessen wollte, da das Strafverfahren noch nicht abgeschlossen und der Direktschaden der Hinterbliebenen noch nicht beziffert worden war. Hinzuzufügen bleibt, dass zwischen der Beschwerdeführerin und der Suva und zwischen dieser und der Haftpflichtversicherung resp. dem Schadenregulierer verschiedene Rechtsverhältnisse bestehen. Dieser Umstand rechtfertigt es, dass die Forderung der Suva gegenüber Dritten im Rahmen der Berechnung der Risikokredibilität bzw. des Prämientarifs der Beschwerdeführerin nicht berücksichtigt werden und keinen Eingriff in die Suva-Praxis rechtfertigen kann.</w:t>
      </w:r>
    </w:p>
    <w:p>
      <w:r>
        <w:rPr>
          <w:b/>
        </w:rPr>
        <w:t>E. 3.4</w:t>
      </w:r>
    </w:p>
    <w:p>
      <w:r>
        <w:t>Im Sinne eines obiter dictum ist schliesslich darauf hinzuweisen, dass es mit Blick auf die Ausführungen der Vorinstanz in ihrer Duplik vom 2. Mai 2011 zutrifft, dass diese aufgrund der dargelegten Gründe (anhängiges Strafverfahren, fehlende Bezifferung des Direktschadens der Hinterbliebenen) den Nichtabschluss des Regresses nicht zu vertreten hat. Ergänzend ist festzuhalten, dass die Vorinstanz den ihr aus einer Akontozahlung des Schadenregulierers zugewiesenen Betrag in der Höhe von Fr. 100'000.- der Beschwerdeführerin in der Risikostatistik 2011 gutgeschrieben hat.</w:t>
      </w:r>
    </w:p>
    <w:p>
      <w:r>
        <w:rPr>
          <w:b/>
        </w:rPr>
        <w:t>E. 4</w:t>
      </w:r>
    </w:p>
    <w:p>
      <w:r>
        <w:t>Aufgrund der vorstehenden Erwägungen erweist sich der Einspracheentscheid der Suva vom 21. Dezember 2010 als rechtens, weshalb die dagegen erhobene Beschwerde vom 17. Januar 2011 abzuweisen ist.</w:t>
      </w:r>
    </w:p>
    <w:p>
      <w:r>
        <w:rPr>
          <w:b/>
        </w:rPr>
        <w:t>E. 5</w:t>
      </w:r>
    </w:p>
    <w:p>
      <w:r>
        <w:t>Es ist schliesslich noch über die Verfahrenskosten und eine allfällige Parteientschädigung zu befinden.</w:t>
      </w:r>
    </w:p>
    <w:p>
      <w:r>
        <w:rPr>
          <w:b/>
        </w:rPr>
        <w:t>E. 5.1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mit dem geleisteten Kostenvorschuss in gleicher Höhe zu verrechnen.</w:t>
      </w:r>
    </w:p>
    <w:p>
      <w:r>
        <w:rPr>
          <w:b/>
        </w:rPr>
        <w:t>E. 5.2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