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C-540/2009 vom 6. Dezember 2010</w:t>
      </w:r>
    </w:p>
    <w:p>
      <w:r>
        <w:t>Bundesverwaltungsgericht, 2010-12-06, FR</w:t>
      </w:r>
    </w:p>
    <w:p>
      <w:r>
        <w:rPr>
          <w:b/>
        </w:rPr>
        <w:t xml:space="preserve">Quelle: </w:t>
      </w:r>
      <w:r>
        <w:t>https://mcp.opencaselaw.ch/entscheid/bvger_C-540_2009</w:t>
      </w:r>
    </w:p>
    <w:p>
      <w:r>
        <w:t>FR: TAF C-540/2009 du 6 décembre 2010</w:t>
      </w:r>
    </w:p>
    <w:p>
      <w:r>
        <w:t>IT: TAF C-540/2009 del 6 dicembre 2010</w:t>
      </w:r>
    </w:p>
    <w:p>
      <w:pPr>
        <w:pStyle w:val="Heading2"/>
      </w:pPr>
      <w:r>
        <w:t>Regeste</w:t>
      </w:r>
    </w:p>
    <w:p>
      <w:r>
        <w:t>Assurance-invalidité (divers)</w:t>
      </w:r>
    </w:p>
    <w:p>
      <w:pPr>
        <w:pStyle w:val="Heading2"/>
      </w:pPr>
      <w:r>
        <w:t>Erwägungen</w:t>
      </w:r>
    </w:p>
    <w:p>
      <w:r>
        <w:rPr>
          <w:b/>
        </w:rPr>
        <w:t>E. 7</w:t>
      </w:r>
    </w:p>
    <w:p>
      <w:r>
        <w:t>Le recours du 26 janvier 2009 doit, partant, être rejeté et la décision du 11 décembre 2008 confirmée.</w:t>
      </w:r>
    </w:p>
    <w:p>
      <w:r>
        <w:rPr>
          <w:b/>
        </w:rPr>
        <w:t>E. 8</w:t>
      </w:r>
    </w:p>
    <w:p>
      <w:r>
        <w:t>Vu l'issue de la procédure, les frais de celle-ci, fixés à Fr. 300.-, sont mis à la charge du recourant (art. 63 al. 1 PA, applicable par le truchement de l'art. 37 LTAF). Ils sont compensés par l'avance de frais du même montant dont il s'est acquitté au cours de l'instruction. Il n'est pas alloué de dépens (art. 7 al. 1 a contrario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