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C-5401/2020 vom 19. September 2022</w:t>
      </w:r>
    </w:p>
    <w:p>
      <w:r>
        <w:t>Bundesverwaltungsgericht, 2022-09-19, DE</w:t>
      </w:r>
    </w:p>
    <w:p>
      <w:r>
        <w:rPr>
          <w:b/>
        </w:rPr>
        <w:t xml:space="preserve">Quelle: </w:t>
      </w:r>
      <w:r>
        <w:t>https://mcp.opencaselaw.ch/entscheid/bvger_C-5401_2020</w:t>
      </w:r>
    </w:p>
    <w:p>
      <w:r>
        <w:t>FR: TAF C-5401/2020 du 19 septembre 2022</w:t>
      </w:r>
    </w:p>
    <w:p>
      <w:r>
        <w:t>IT: TAF C-5401/2020 del 19 settembre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Als Adressat der angefochtenen Verfügung ist der Beschwerdeführer durch diese besonders berührt und hat ein</w:t>
      </w:r>
    </w:p>
    <w:p>
      <w:r>
        <w:t>C-5401/2020 Seite 5 schutzwürdiges Interesse an deren Aufhebung oder Abänderung, weshalb er zur Erhebung der Beschwerde legitimiert ist (Art. 48 Abs. 1 VwVG [SR 172.021]); siehe auch Art. 59 ATSG [SR 830.1]). Nachdem der Kostenvor- schuss fristgemäss geleistet wurde, ist auf die im Übrigen frist- und form- 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19. Oktober 2020, mit welcher die Vorinstanz die halbe In- validenrente des Beschwerdeführers mit Wirkung ab dem 1. August 2020 sistierte. Streitig und zu prüfen ist somit, ob die Vorinstanz die Ausrichtung der Invalidenrente an den Beschwerdeführer zu Recht rückwirkend ab dem 1. August 2020 sistiert hat.</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und somit auch der Anspruch des Be- schwerdeführers auf eine (ununterbrochene) Auszahlung der ihm zuge- sprochenen Invalidenrente beurteilt sich indes auch im Anwendungsbe- reich des FZA und der Koordinierungsvorschriften nach schweizerischem Recht (vgl. BGE 130 V 253 E. 2.4; Urteil des BGer 9C_573/2012 vom 16. Januar 2013 E. 4).</w:t>
      </w:r>
    </w:p>
    <w:p>
      <w:r>
        <w:rPr>
          <w:b/>
        </w:rPr>
        <w:t>E. 3.2</w:t>
      </w:r>
    </w:p>
    <w:p>
      <w:r>
        <w:t>Mit der Beschwerde an das Bundesverwaltungsgericht kann die Verlet- zung von Bundesrecht, einschliesslich Überschreitung oder Missbrauch des Ermessens, die unrichtige oder unvollständige Feststellung des rechts- erheblichen Sachverhaltes sowie – falls nicht eine kantonale Behörde als Beschwerdeinstanz verfügt hat – die Unangemessenheit gerügt werden (Art. 49 VwVG). Das Bundesverwaltungsgericht wendet das Bundesrecht</w:t>
      </w:r>
    </w:p>
    <w:p>
      <w:r>
        <w:t>C-5401/2020 Seite 6 von Amtes wegen an. Es ist gemäss Art. 62 Abs. 4 VwVG an die Begrün- dung der Begehren nicht gebunden und kann die Beschwerde auch aus anderen als den geltend gemachten Gründen gutheissen oder abweisen (vgl. BVGE 2013/46 E. 3.2).</w:t>
      </w:r>
    </w:p>
    <w:p>
      <w:r>
        <w:rPr>
          <w:b/>
        </w:rPr>
        <w:t>E. 3.3</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3.4</w:t>
      </w:r>
    </w:p>
    <w:p>
      <w:r>
        <w:t>Das Sozialversicherungsgericht stellt bei der Beurteilung einer Streit- sache in der Regel auf den bis zum Zeitpunkt des Erlasses der streitigen Verwaltungsverfügung (hier: 19. Oktober 2020) eingetretenen Sachverhalt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3.5</w:t>
      </w:r>
    </w:p>
    <w:p>
      <w:r>
        <w:t>In zeitlicher Hinsicht sind grundsätzlich diejenigen Rechtssätze mass- gebend, die bei der Erfüllung des rechtlich zu ordnenden oder zu Rechts- folgen führenden Tatbestands Geltung haben (BGE 132 V 215 E. 3.1.1). Am 1. Januar 2022 trat das revidierte IVG in Kraft (Weiterentwicklung der IV [WEIV]; Änderung vom 19. Juni 2020, AS 2021 705, BBl 2017 2535). Die dem angefochtenen Urteil zugrunde liegende Verfügung erging vor dem 1. Januar 2022. Nach den allgemeinen Grundsätzen des intertempo- ralen Rechts und des zeitlich massgebenden Sachverhalts (statt vie- ler: BGE 144 V 210 E. 4.3.1; 129 V 354 E. 1 m.H.) finden somit vorliegend jene Vorschriften Anwendung, die spätestens beim Erlass der Verfügung vom 19. Oktober 2020 in Kraft standen, weiter aber auch Vorschriften, die zu jenem Zeitpunkt bereits ausser Kraft getreten waren, die aber für die Beurteilung allenfalls früher entstandener Leistungsansprüche von Belang sind.</w:t>
      </w:r>
    </w:p>
    <w:p>
      <w:r>
        <w:t>C-5401/2020 Seite 7</w:t>
      </w:r>
    </w:p>
    <w:p>
      <w:r>
        <w:rPr>
          <w:b/>
        </w:rPr>
        <w:t>E. 4</w:t>
      </w:r>
    </w:p>
    <w:p>
      <w:r>
        <w:t>Wie bereits dargelegt, sistierte die Vorinstanz mit Verfügung vom 19. Ok- tober 2020 die dem Beschwerdeführer bisher geleistete halbe Invaliden- rente mit Wirkung ab dem 1. August 2020 (vgl. E. 2). Zur Begründung der Verfügung hielt die Vorinstanz fest, gemäss Beschluss des Landgerichts E._______ vom 2. Juni 2020 befinde sich der Beschwerdeführer im Klini- kum B._______ in (…) in einem stationären Massregelvollzug, weshalb rückwirkend ab dem 1. August 2020 kein Anspruch mehr auf eine halbe IV- Rente bestehe (act. 90). Auf Vernehmlassungsebene führte die Vorinstanz ergänzend aus, die Sis- tierung der Rente erfolge rechtsprechungsgemäss unabhängig davon, ob die Strafe oder die Massnahme in der Schweiz oder im Ausland vollzogen werde. Zudem hänge die Sistierung einer Invalidenrente während einer stationären therapeutischen Massnahme nicht davon ab, ob die Behand- lungsbedürftigkeit oder die Sozialgefährlichkeit überwiege, entscheidend sei allein, ob der stationäre Massnahmenvollzug eine Erwerbstätigkeit zu- lasse oder nicht. Ein Straftäter sei während der stationären Massnahme denjenigen Personen, welche eine Haftstrafe verbüssen würden oder in Untersuchungshaft seien, gleichzustellen, da er gehindert werde, einer Er- werbstätigkeit nachzugehen. Der Beschwerdeführer befinde sich in einem stationären Massregelvollzug und werde folglich daran gehindert, einer Er- werbstätigkeit nachzugehen (BVGer-act.13).</w:t>
      </w:r>
    </w:p>
    <w:p>
      <w:r>
        <w:rPr>
          <w:b/>
        </w:rPr>
        <w:t>E. 5.1</w:t>
      </w:r>
    </w:p>
    <w:p>
      <w:r>
        <w:t>Nach Art. 21 Abs. 5 ATSG kann die Auszahlung von Geldleistungen mit Erwerbsersatzcharakter ganz oder teilweise eingestellt werden, während sich die versicherte Person im Straf- oder Massnahmevollzug befindet. Da- von ausgenommen sind die Geldleistungen für Angehörige im Sinne von Art. 21 Abs. 3 ATSG. Renten der Invalidenversicherung sind Geldleistun- gen mit Erwerbsersatzcharakter im Sinne von Art. 21 Abs. 5 ATSG (Urteil des BGer 8C_139/2007 vom 30. Mai 2008 E. 3.2; KIESER, ATSG-Kommen- tar, 4. Aufl. 2020, Art. 21 Rz. 174 f.). Die Rente wird für jenen Monat noch ausgezahlt, in welchem der Versicherte die Strafe oder Massnahme ange- treten hat; nach dem Ende des Freiheitsentzugs wird sie für den ganzen Monat, in welchem die Entlassung aus der Haftanstalt erfolgt, ausgerichtet (BGE 114 V 143 E. 3; KIESER, ATSG-Kommentar, Art. 21 Rz. 168). Eine Nachforderung der (sistierten) Leistungen nach dem Vollzug ist nach dem gesetzgeberischen Willen ausgeschlossen (ERWIN MURER, Die Einstellung der Auszahlung von Invalidenrenten der Sozialversicherung während des</w:t>
      </w:r>
    </w:p>
    <w:p>
      <w:r>
        <w:t>C-5401/2020 Seite 8 Straf- und Massnahmevollzugs, in: Niggli/Hurtado Pozo/Queloz [Hrsg.], Festschrift für Franz Riklin, 2007, S. 153 ff., 160).</w:t>
      </w:r>
    </w:p>
    <w:p>
      <w:r>
        <w:rPr>
          <w:b/>
        </w:rPr>
        <w:t>E. 5.2</w:t>
      </w:r>
    </w:p>
    <w:p>
      <w:r>
        <w:t>Sinn und Zweck der Bestimmung ist die Gleichbehandlung von invali- den mit nichtinvaliden Häftlingen, denen die Ausübung einer Erwerbstätig- keit während des Strafvollzugs untersagt ist. Die Unmöglichkeit, ein Er- werbseinkommen zu erzielen, ist während der Dauer des Strafvollzugs nicht durch die gesundheitlichen Einschränkungen, sondern durch die In- haftierung bedingt (BGE 133 V 1 E. 4.2.4.1; Urteil des BGer 8C_289/2012 vom 30. August 2012 E. 3.2). Entscheidend für die Rentensistierung ist so- mit einzig, dass eine verurteilte Person infolge Inhaftierung an einer Er- werbstätigkeit verhindert ist, respektive die Frage, ob eine nichtinvalide Person in der gleichen Situation einen Erwerbsausfall erleiden würde. Da- bei ist unerheblich, weshalb die Person inhaftiert ist und ob die Strafe oder Massnahme in der Schweiz oder im Ausland vollzogen wird (BGE 138 V 140 E. 2.2, 137 V 154 E. 3.3, 5.2 und 6 und 133 V 1 E. 4.2.4.1 je m.H., Urteil des BGer 9C_20/2008 vom 21. August 2008 E. 4; Urteile des BVGer C-2585/2006 vom 26. Oktober 2007 E. 5 und C-5697/2009 vom 6. Januar 2012 E. 4.3 m.H., KIESER, ATSG-Kommentar, Art. 21 Rz. 173). Gleiches gilt insbesondere während des Vollzugs einer stationären therapeutischen Massnahme nach Art. 59 des Schweizerischen Strafgesetzbuchs vom 21. Dezember 1937 (StGB, SR 311.0), wobei einzig darauf abzustellen ist, ob der stationäre Massnahmevollzug eine Erwerbstätigkeit zulässt oder nicht (BGE 137 V 154 E. 6; Urteil des BVGer C-5825/2016 vom 26. Oktober 2018 E. 5.7.2 m.H.). Auf das Verhältnis zwischen Sozialgefährdung und Behandlungsbedürftigkeit kann es daher nicht ankommen, und aus Rechtsgleichheitsgründen ist die Invalidenrente bis zum Ende des statio- nären Aufenthalts in einer Klinik und dem damit begründeten Freiheitsent- zug zu sistieren. Es kann auch nicht von Belang sein, ob - namentlich in- folge erfolgreicher Behandlung - die Rückfallgefahr während des Vollzugs einer stationären Massnahme sich erheblich vermindert oder entfällt (BGE 137 V 154 E. 5). Ebenso wenig muss die Art der Massnahme (aufgrund sozialer Gefährlichkeit oder zu therapeutischen Zwecken) oder der Haft (Vollzug einer unbedingten Strafe, Untersuchungshaft oder zu Sicherungs- zwecken) berücksichtigt werden (ANNE-SYLVIE DUPONT, in Dupont/Moser- Szeless [Hrsg.], Commentaire romand, Loi sur la partie générale des as- surances sociales, 2018, Art. 21 Rz. 74).</w:t>
      </w:r>
    </w:p>
    <w:p>
      <w:r>
        <w:rPr>
          <w:b/>
        </w:rPr>
        <w:t>E. 5.3</w:t>
      </w:r>
    </w:p>
    <w:p>
      <w:r>
        <w:t>Art. 21 Abs. 5 ATSG erlaubt es als Kann-Vorschrift, den besonderen Umständen Rechnung zu tragen. Die Sistierung einer Rentenleistung im Sinne von Art. 21 Abs. 5 ATSG rechtfertigt sich jedoch lediglich dort nicht,</w:t>
      </w:r>
    </w:p>
    <w:p>
      <w:r>
        <w:t>C-5401/2020 Seite 9 wo die Vollzugsart einer inhaftierten Person die Möglichkeit bietet, eine Er- werbstätigkeit auszuüben (wie in der Halbfreiheit [heute: Arbeitsexternat, vgl. Art. 77a StGB] oder Halbgefangenschaft [Art. 77b StGB] und im Fall bestimmter Formen von Ersatzmassnahmen i.S.v. Art. 237 der Schweize- rischen Strafprozessordnung vom 5. Oktober 2007 [StPO, SR 312.0]) und somit selber für die Lebensbedürfnisse aufzukommen (BGE 137 V 154 E. 5.1). Die Arbeitspflicht nach Art. 81 Abs. 1 StGB fällt nicht unter diese Erwerbstätigkeit, da es sich dabei um einen Arbeitseinsatz in einem ge- schlossenen System handelt, welcher mit der Arbeit im Erwerbsleben auch bezüglich Lohn nicht vergleichbar ist (Urteil des BGer 9C_626/2010 vom 31. August 2010 E. 3.2; MURER, a.a.O., S. 161).</w:t>
      </w:r>
    </w:p>
    <w:p>
      <w:r>
        <w:rPr>
          <w:b/>
        </w:rPr>
        <w:t>E. 6.1</w:t>
      </w:r>
    </w:p>
    <w:p>
      <w:r>
        <w:t>Am 2. Januar 2020 wurde der Versicherte auf eigenen Wunsch hin von der Klinik für Forensische Psychiatrie des Klinikums D._______ in (…) in das Klinikum B._______ in (…) verlegt (vgl. Bst. B.b). Das Landgericht E._______ hat am 2. Juni 2020 die Fortdauer der Unterbringung des Be- schwerdeführers in einem psychiatrischen Krankenhaus angeordnet und die Frist zur erneuten Überprüfung auf den 1. Juni 2021 angesetzt (vgl. Bst. B.c). Es handelt sich hierbei um einen geschlossenen Vollzug (vgl. act. 86 S. 2 Ziff. II). Bei der Unterbringung in einem psychiatrischen Krankenhaus geht es gemäss §63 des deutschen Strafgesetzbuchs der Gesetzessyste- matik zufolge um eine freiheitsentziehende Massnahme («Freiheitsentzie- hende Maßregel»; vgl. dazu das deutsche Strafgesetzbuch, einsehbar un- ter &lt; https://www.gesetze-im-internet.de/stgb/StGB.pdf &gt;, abgerufen am 29.06.2022). Im August 2022 und auch noch zum Zeitpunkt der angefochtenen Verfü- gung (19. Oktober 2020) befand sich der Beschwerdeführer somit klar im geschlossenen Vollzug und war damit an einer Erwerbstätigkeit und folg- lich an der eigenständigen Bestreitung seiner Lebensbedürfnisse verhin- dert. Eine geschlossene Vollzugsweise lässt auch bei nichtinvaliden Inhaf- tierten keine Erwerbstätigkeit zu. Gestützt auf den Sachverhalt ab August 2020 und auch noch im Zeitpunkt der angefochtenen Verfügung (vgl. E. 3.4) erweist sich die von der Vorinstanz angeordnete Rentensistierung vor dem Hintergrund der dargelegten Rechtsprechung (vgl. E. 5) somit als gerechtfertigt, weshalb die Beschwerde unbegründet ist.</w:t>
      </w:r>
    </w:p>
    <w:p>
      <w:r>
        <w:t>C-5401/2020 Seite 10</w:t>
      </w:r>
    </w:p>
    <w:p>
      <w:r>
        <w:rPr>
          <w:b/>
        </w:rPr>
        <w:t>E. 6.2</w:t>
      </w:r>
    </w:p>
    <w:p>
      <w:r>
        <w:t>Die nach dem 19. Oktober 2020 eingetretenen Entwicklungen sind im Rahmen einer neuen Verfügung betreffend eine mögliche Aufhebung der Rentensistierung zu berücksichtigen. Diesbezüglich ist darauf hinzuweisen, dass das Landgericht E._______ am 27. Mai 2022 abermals die Fortdauer der Unterbringung des Beschwerde- führers in einem psychiatrischen Krankenhaus angeordnet und die Frist zur erneuten Überprüfung auf den 1. Dezember 2022 angesetzt hat (BVGer- act. 22, Beilage 3). Vor diesem Hintergrund ist fraglich, ob im Zuge des in den Stellungnahmen des Klinikums B._______ vom 17. März und vom 19. Juli 2022 (BVGer-act. 16 und 22) beschriebenen sogenannten «Locke- rungsverlaufs» (mit offener Unterbringung des Beschwerdeführers in der Trainingswohngruppe ausserhalb des Geländes der Forensischen Klinik seit Ende Juli 2021 [sog. Rehabilitationsphase], Aufnahme einer geringfü- gigen Erwerbstätigkeit als Reinigungskraft seit 1. Januar 2022 [vgl. Arbeits- vertrag zwischen der F._______ mbH und dem Beschwerdeführer vom 23. Dezember 2021, verlängert bis zum 31. März 2023 {BVGer-act. 22, Beilagen 1a und 1b}] und erprobtem Wohnen im eigenen Wohnraum seit 1. Juni 2022) ein Wechsel des Beschwerdeführers in eine Art Arbeitsexter- nat resp. Halbgefangenschaft i.S. von Art. 77a und Art. 77b StGB stattge- funden hat, oder ob es sich dabei lediglich um Stationen eines therapeuti- schen Programms im Rahmen der freiheitsentziehenden Massnahme han- delt. Dies wäre seitens der Vorinstanz im Rahmen einer neuen Verfügung betreffend eine mögliche Aufhebung der Rentensistierung zu klären, falls notwendig mittels weiterer Instruktionsmassnahmen.</w:t>
      </w:r>
    </w:p>
    <w:p>
      <w:r>
        <w:rPr>
          <w:b/>
        </w:rPr>
        <w:t>E. 6.3.1</w:t>
      </w:r>
    </w:p>
    <w:p>
      <w:r>
        <w:t>Der Beschwerdeführer macht in seiner Beschwerdeschrift geltend, die Versagung der Auszahlung von Geldleistungen mit Erwerbscharakter wäre nach deutschem Recht eine doppelte Bestrafung. Er habe nicht ge- gen Schweizer Gesetze verstossen bzw. sei in der Schweiz nie verurteilt worden. Die Begründung der Versagung gemäss Art. 21 Abs. 5 ATSG sei sehr allgemein gehalten, berücksichtige nicht den Einzelfall und zeige auch den Ermessensspielraum im Kontext seiner Erkrankung nicht auf. Im mit der Replik eingereichten Bericht des Klinikums B._______ vom 17. März 2022 wurde überdies festgehalten, dass der Beschwerdeführer seit Januar 2020 bis Ende Juni 2021 an internen Beschäftigungsprogrammen teilge- nommen hatte.</w:t>
      </w:r>
    </w:p>
    <w:p>
      <w:r>
        <w:t>C-5401/2020 Seite 11</w:t>
      </w:r>
    </w:p>
    <w:p>
      <w:r>
        <w:rPr>
          <w:b/>
        </w:rPr>
        <w:t>E. 6.3.2</w:t>
      </w:r>
    </w:p>
    <w:p>
      <w:r>
        <w:t>Der Beschwerdeführer verkennt, dass vorliegend schweizerisches und nicht deutsches Recht angewendet wird (vgl. E. 3.1). Des Weiteren ist nicht massgebend, ob er gegen schweizerisches Recht verstossen hat. Entscheidend für die Rentensistierung ist einzig, dass eine verurteilte Per- son infolge Inhaftierung an einer Erwerbstätigkeit verhindert ist respektive die Frage, ob eine nichtinvalide Person in der gleichen Situation einen Er- werbsausfall erleiden würde (vgl. E. 5.2). Ferner übersieht der Beschwerdeführer bei seiner Argumentation, dass das Bundesgericht in seiner Rechtsprechung klargestellt hat, dass sich in Ausübung des in Art. 21 Abs. 5 ATSG vorgesehenen Ermessens eine Ren- tensistierung lediglich dort nicht rechtfertigt, wo die Vollzugsart einer inhaf- tierten Person die Möglichkeit bietet, eine Erwerbstätigkeit auszuüben (vgl. E. 5.3). Davon ist im vorliegend relevanten Zeitraum (vgl. E. 6.1) nicht aus- zugehen. Keine Erwerbstätigkeit in diesem Sinne ist, wie in E. 5.3 festge- halten, die Arbeitspflicht nach Art. 81 Abs. 1 StGB, weshalb die im Rahmen der Replik geltend gemachte Teilnahme an klinikinternen Beschäftigungs- programmen von Januar 2020 bis Ende Juni 2021 nichts an der Renten- sistierung zu ändern vermag.</w:t>
      </w:r>
    </w:p>
    <w:p>
      <w:r>
        <w:rPr>
          <w:b/>
        </w:rPr>
        <w:t>E. 6.4</w:t>
      </w:r>
    </w:p>
    <w:p>
      <w:r>
        <w:t>Demzufolge erweist sich die mit Verfügung vom 19. Oktober 2020 an- geordnete Rentensistierung mit Wirkung ab dem 1. August 2020 als ge- rechtfertigt.</w:t>
      </w:r>
    </w:p>
    <w:p>
      <w:r>
        <w:rPr>
          <w:b/>
        </w:rPr>
        <w:t>E. 7</w:t>
      </w:r>
    </w:p>
    <w:p>
      <w:r>
        <w:t>Zu befinden bleibt über die Verfahrenskosten und eine allfällige Parteient- schädigung.</w:t>
      </w:r>
    </w:p>
    <w:p>
      <w:r>
        <w:rPr>
          <w:b/>
        </w:rPr>
        <w:t>E. 7.1</w:t>
      </w:r>
    </w:p>
    <w:p>
      <w:r>
        <w:t>Das Beschwerdeverfahren ist kostenpflichtig (Art. 69 Abs. 1bis i.V.m. Art. 69 Abs. 2 IVG), wobei die Verfahrenskosten grundsätzlich der unterliegen- den Partei auferlegt werden. Unterliegt diese nur teilweise, so werden die Verfahrenskosten ermässigt (Art. 63 Abs. 1 VwVG). Den Vorinstanzen wer- den keine Verfahrenskosten auferlegt (Art. 63 Abs. 2 VwVG). Entspre- chend dem Ausgang des Verfahrens hat der unterliegende Beschwerde- führer die Verfahrenskosten zu tragen. Diese sind auf Fr. 800.– festzuset- zen. Der einbezahlte Kostenvorschuss ist zur Bezahlung der Verfahrens- kosten zu verwenden.</w:t>
      </w:r>
    </w:p>
    <w:p>
      <w:r>
        <w:rPr>
          <w:b/>
        </w:rPr>
        <w:t>E. 7.2</w:t>
      </w:r>
    </w:p>
    <w:p>
      <w:r>
        <w:t>Der obsiegenden Partei kann von Amtes wegen oder auf Begehren eine Entschädigung für ihr erwachsene notwendige und verhältnismässig</w:t>
      </w:r>
    </w:p>
    <w:p>
      <w:r>
        <w:t>C-5401/2020 Seite 12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 (Dispositiv nächste Seite)</w:t>
      </w:r>
    </w:p>
    <w:p>
      <w:r>
        <w:t>C-5401/2020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