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C-5401/2010 vom 1. Oktober 2012</w:t>
      </w:r>
    </w:p>
    <w:p>
      <w:r>
        <w:t>Bundesverwaltungsgericht, 2012-10-01, DE</w:t>
      </w:r>
    </w:p>
    <w:p>
      <w:r>
        <w:rPr>
          <w:b/>
        </w:rPr>
        <w:t xml:space="preserve">Quelle: </w:t>
      </w:r>
      <w:r>
        <w:t>https://mcp.opencaselaw.ch/entscheid/bvger_C-5401_2010</w:t>
      </w:r>
    </w:p>
    <w:p>
      <w:r>
        <w:t>FR: TAF C-5401/2010 du 1 octobre 2012</w:t>
      </w:r>
    </w:p>
    <w:p>
      <w:r>
        <w:t>IT: TAF C-5401/2010 del 1 ottobre 2012</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Der Beschwerdefüh­rer ist gemäss Art. 48 Abs. 1 VwVG zur Beschwerde berechtigt. Auf die frist- und formgerechte Be­schwer­de ist einzu­treten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A-2682/2007 vom 7. Oktober 2010 E.1.2 und 1.3).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Sinn der Bestimmung müs­sen sämtliche Vorausset­zungen sowohl im Zeitpunkt des Gesuchs als auch anläss­lich der Einbürgerungsverfügung erfüllt sein. Fehlt es insbeson-dere im Zeitpunkt des Entscheids an der ehelichen Gemeinschaft, darf die er­leichterte Einbürgerung nicht ausgesprochen werden (BGE 135 II 161 E. 2; BGE 130 II 482 E. 2).</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Hintergrund hierfür ist die Absicht des Gesetzgebers, dem ausländischen Ehegatten eines Schweizer Bürgers die erleichter­te Einbürgerung zu ermöglichen, um die Einheit des Bürgerrechts im Hin­blick auf ihre gemeinsame Zukunft zu fördern (vgl. Botschaft des Bun­desrats zur Änderung des Bürgerrechtsgesetzes vom 27. August 1987, BBl 1987 III 310 sowie BGE 135 II 161 E. 2 und 130 II 482 E. 2).</w:t>
      </w:r>
    </w:p>
    <w:p>
      <w:r>
        <w:rPr>
          <w:b/>
        </w:rPr>
        <w:t>E. 3.3</w:t>
      </w:r>
    </w:p>
    <w:p>
      <w:r>
        <w:t>Nach Art. 41 Abs. 1 BüG (in der hier anwendbaren bis Ende Februar 2011 geltenden Fassung; AS 1952 1087) kann die erleichterte Einbürgerung mit Zustim­mung der Behörde des Heimat­kantons innert fünf Jahren für nichtig er­klärt werden, wenn sie durch fal­sche Angaben oder Verheimlichung er­heblicher Tatsachen erschlichen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w:t>
      </w:r>
    </w:p>
    <w:p>
      <w:r>
        <w:rPr>
          <w:b/>
        </w:rPr>
        <w:t>E. 4.1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Es handelt sich um Wahr­schein­lich­keitsfolgerungen, die auf Grund der Lebenserfahrung gezo­gen wer­den. Die betroffene Person ist bei der Sachverhaltsabklä­rung mit­wir­kungs­pflichtig (BGE 135 II 161 E. 3 mit Hinwei­sen).</w:t>
      </w:r>
    </w:p>
    <w:p>
      <w:r>
        <w:rPr>
          <w:b/>
        </w:rPr>
        <w:t>E. 4.2</w:t>
      </w:r>
    </w:p>
    <w:p>
      <w:r>
        <w:t>Die tatsächliche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mit Hinweisen).</w:t>
      </w:r>
    </w:p>
    <w:p>
      <w:r>
        <w:rPr>
          <w:b/>
        </w:rPr>
        <w:t>E. 5</w:t>
      </w:r>
    </w:p>
    <w:p>
      <w:r>
        <w:t>Aufgrund der Ereignisse im Umfeld von Eheschliessung und Einbür­gerung des Beschwerdeführers gelangte die Vorinstanz zur Ver­mu­tung, dieser habe während des Einbürgerungsverfahrens falsche An­gaben gemacht bzw. wesentliche Tatsachen verschwiegen und dadurch seine erleichterte Einbürgerung erschlichen.</w:t>
      </w:r>
    </w:p>
    <w:p>
      <w:r>
        <w:rPr>
          <w:b/>
        </w:rPr>
        <w:t>E. 5.1</w:t>
      </w:r>
    </w:p>
    <w:p>
      <w:r>
        <w:t>Aus dem unbestritten gebliebenen Akteninhalt geht hervor, dass der Beschwer­de­führer, Jahrgang 1981, im November 1997 als Asylsuchender in die Schweiz gelangte, im Sommer 1998 seine spätere Ehefrau - 19 Jahre älter als er - kennenlernte und diese im November 1999 heiratete. Hierdurch erhielt er, auch wenn der Entscheid über sein Asylgesuch noch ausstand, eine Jahresaufenthaltsbewilligung im Kanton Luzern. Im Oktober 2003 stellte er ein Gesuch um erleichterte Einbürgerung und zeugte während des Einbürgerungsverfahrens mit einer Kongolesin Zwillinge, die rund 2 Wochen vor der am 4. Juli 2005 verfügten erleichterten Einbürgerung geboren wurden. Über den ihm offensichtlich bekannten Umstand der Geburt - weder im Rahmen des rechtlichen Gehörs noch im Beschwerdeverfahren wird das Gegenteil behauptet - setzte der Beschwerdeführer die Einbürgerungsbehörde nicht in Kenntnis. Nach der Geburt seiner Zwillingstöchter behielt er den Kontakt zu ihnen bei, mietete ab Juni 2006 eine Wohnung in Emmenbrücke und ermöglichte dadurch den Kindern und ihrer Mutter, bei ihm bzw. in seiner Nähe zu leben.</w:t>
      </w:r>
    </w:p>
    <w:p>
      <w:r>
        <w:rPr>
          <w:b/>
        </w:rPr>
        <w:t>E. 5.2</w:t>
      </w:r>
    </w:p>
    <w:p>
      <w:r>
        <w:t>Der geschilderte Sachverhalt zeigt, dass sich der Be­schwerde­führer, gerade erst 18 Jahre alt, durch die Eheschliessung mit einer mehr als doppelt so alten Schweizerin einen geregelten Aufenthalt verschaffen konnte. Dass er sich nach der Geburt seiner Kinder und seiner Einbürgerung um ein neues gemeinsames Domizil bemühte, um mit ihnen und der Kindesmutter ein Familienleben führen zu können, lässt zudem vermuten, dass er bereits während des Einbürgerungsverfahrens eine Parallelbeziehung führte. Hinzu kommt, dass es der Beschwerdeführer unterlassen hat, die Behörde über seine aussereheliche Vaterschaft zu informieren, dies, obwohl im Gesuchsformular ausdrücklich nach dem Vorhandensein von Kindern gefragt wurde und er dort unterschriftlich zur Kenntnis genommen hat, dass falsche Angaben oder die Verheimlichung erheblicher Tatsachen zur Nichtigerklärung der Einbürgerung führen können. Sein Stillschweigen über die Geburt seiner Kinder spricht für seine Täuschungsabsicht. Abgesehen von dem bereits hierdurch erfüllten Nichtigkeitstatbestand deutet aber auch der gesamte sonstige Geschehensablauf darauf hin, dass sich der Beschwerdeführer die erleichterte Einbürgerung erschlichen hat. Hiervon durfte die Vorinstanz zurecht ausgehen.</w:t>
      </w:r>
    </w:p>
    <w:p>
      <w:r>
        <w:rPr>
          <w:b/>
        </w:rPr>
        <w:t>E. 5.3</w:t>
      </w:r>
    </w:p>
    <w:p>
      <w:r>
        <w:t>Diese Vermutung sah die Vorinstanz auch durch die Angaben der Ex-Ehefrau bestätigt, die am 8. April 2009 durch das Amt für Gemeinden des Kantons Luzern als Auskunftsperson (Art. 12 Bst. c VwVG) einvernommen wurde. Diese führte aus, sie habe geheiratet, um nicht mehr allein zu sein, habe auch den Wunsch gehabt, irgendwann einmal mit ihrem Ehemann nach Kuba auszuwandern. Die Ehe sei die ersten drei, vier Jahre gut verlaufen, man habe auch gemeinsame Reisen, u.a. nach China und Venezuela, unternommen. Nach dem Auszug ihres Ehemannes habe sie festgestellt, dass sich in dessen neuer Wohnung überwiegend auch die eigentlich in Uetendorf angemeldeten Kinder und deren Mutter aufhielten; seien diese nicht in Emmenbrücke gewesen, so sei ihr Ehemann zu ihr in die gemeinsame Wohnung, an deren Miete er sich weiterhin beteiligt habe, gekommen. Im Weiteren schilderte die Ex-Ehefrau, dass sie sich lange Zeit Hoffnungen auf eine Rettung ihrer Ehe gemacht habe, dass ihr Ehemann sie insofern um Geduld gebeten habe und dass sie selbst sogar zu einer Adoption der Zwillinge bereit gewesen wäre.</w:t>
      </w:r>
    </w:p>
    <w:p>
      <w:r>
        <w:rPr>
          <w:b/>
        </w:rPr>
        <w:t>E. 6</w:t>
      </w:r>
    </w:p>
    <w:p>
      <w:r>
        <w:t>Aufgrund der von der Vorinstanz zurecht aufgestellten Vermutung der erschlichenen Einbürgerung stellt sich die Frage, ob die vom Beschwerdeführer vor­ge­brachten Argumente eine andere Schluss­folgerung erlauben.</w:t>
      </w:r>
    </w:p>
    <w:p>
      <w:r>
        <w:rPr>
          <w:b/>
        </w:rPr>
        <w:t>E. 6.1</w:t>
      </w:r>
    </w:p>
    <w:p>
      <w:r>
        <w:t>In seiner Beschwerde betont A._______, dass es sich bei seiner Eheschliessung mit B._______ um eine Liebesheirat gehandelt habe, äussert sich aber ansonsten nicht zur Aus­ge­staltung des Zusammenlebens mit seiner Ehefrau. Insbesondere versucht er die Zeugung der beiden Kinder als Folge eines einmaligen Seiten­sprungs darzustellen, der seine intakte eheliche Partnerschaft wäh­rend des Einbürgerungsverfahrens im Grunde nicht habe beein­träch­tigen können. Dies ist schon deshalb wenig glaubhaft, weil der Be­schwer­deführer nachträglich für das Zusammen­leben mit seinen Kin­dern und der Kindesmutter sorgte und damit bewusst eine Situation ma­­ni­festierte, in der seine Ehe keine Zukunftschancen mehr haben konnte. Aufgrund dessen kann auch angenommen werden, dass er bereits wäh­rend des Einbürgerungs­verfahrens eine Parallelbeziehung zur späteren Mutter seiner Kinder unterhielt, ein Um­stand, der grund­sätzlich nicht vereinbar ist mit dem Erfordernis ei­ner stabilen und auf die Zukunft ausgerichteten ehelichen Gemein­schaft (vgl. Urteil des Bundesgerichts 1C_309/2011 vom 5. September 2011 E. 4.1). Dass der Beschwerde­führer seiner Ehefrau die ausser­ehe­liche Vaterschaft rund ein Jahr lang verheimlichte, ist ohnehin ein Verhalten, das in einer intakten Ehe kaum denkbar ist (vgl. Urteil des Bun­des­gerichts 1C_102/2012 vom 17. April 2012 E. 2.6). Der Be­schwer­deführer kann sich zu seinen Gunsten auch nicht darauf beru­fen, dass er seine Vater­schaft erst im Juni 2007 anerkannt hat, wäre er doch bei ernsthaften Zweifeln daran nicht schon im Juni 2006 eine Wohngemeinschaft mit seinen Kindern und deren Mutter eingegangen.</w:t>
      </w:r>
    </w:p>
    <w:p>
      <w:r>
        <w:rPr>
          <w:b/>
        </w:rPr>
        <w:t>E. 6.2</w:t>
      </w:r>
    </w:p>
    <w:p>
      <w:r>
        <w:t>Die Anmietung der Wohnung in Emmenbrücke auf den 1. Juni 2006 beschreibt der Beschwerdeführer als Folge des Verantwortungs­bewusstseins seinen Kindern gegenüber mit der Konse­quenz, dass er zu deren Betreuung auch die Kindesmutter in die Wohnung habe auf-nehmen müssen. Vor dem Hintergrund der obigen Erwä­gungen ist diese Behauptung jedoch genauso wenig glaubhaft wie die Behaup­tung des einmaligen sexuellen Kontaktes mit der Kindesmutter. Weiter­hin beharrt der Beschwerdeführer darauf, dass er seine Ehe nicht habe aufgeben wollen; hierfür habe er keinen Grund gehabt. Betrachtet man diese Ausführungen im Zusammenhang mit weiteren Erklärungen - nämlich: seine Ex-Ehefrau sei alkohol- und drogenabhängig gewesen und habe nach Kuba auswandern wollen -, so erscheint das behaup­tete gleich­zeitige Festhaltenwollen an der Ehe jedoch erst recht nicht nach­voll­ziehbar. Die im Rechtsmittelverfahren überhaupt erstmalige Erwäh­nung des angeblichen Alkohol- und Drogenproblems der Ex-Ehefrau spricht ebenfalls gegen die Plausibilität des Vorbringens, mit dem der Beschwerdeführer zum einen die Gründung seiner neuen Familien­gemeinschaft zu rechtfertigten versucht, zum anderen selbst für diesen Zeitpunkt noch die Intaktheit seiner Ehe belegen möchte. Es ist Ehe­gatten zwar nicht verwehrt, ihre Ehe in jeglicher Hinsicht offen zu gestalten. Die erleichterte Einbürgerung setzt indessen nicht nur das formelle Bestehen einer Ehe voraus, sondern das Vorliegen einer tatsächlichen Lebensgemeinschaft, welche dem Willen des Gesetz­gebers zufolge nur dann angenommen werden kann, wenn sie auf eine mit dem Ehepartner gemeinsame Zukunft ausgerichtet ist (vgl. E. 3.2). Eine solche Lebensgemeinschaft bestand allem Anschein nach zwi­schen dem Beschwerdeführer und seiner Ehefrau im Zeitpunkt der erleichterten Einbürgerung nicht mehr.</w:t>
      </w:r>
    </w:p>
    <w:p>
      <w:r>
        <w:rPr>
          <w:b/>
        </w:rPr>
        <w:t>E. 7</w:t>
      </w:r>
    </w:p>
    <w:p>
      <w:r>
        <w:t>Zusammenfassend ist festzustellen, dass der Beschwerdeführer die Vermutung der Vorinstanz nicht hat entkräften können. Dabei kann dahingestellt bleiben, ob der Beschwerdeführer seine Ehe von vornherein nur als Mittel zum Zweck benutzt hat, um sich zunächst eine Aufenthaltsbewilligung und danach das schweizerische Bürgerrecht zu verschaffen. Jedenfalls ist davon auszugehen, dass der Beschwerdeführer während seines Einbürgerungsverfahrens eine aussereheliche Beziehung unterhielt und dass er diese Beziehung auch nach der - der Einbürgerungsbehörde verheimlichten - Geburt seiner Kinder fortsetzte. Mit seinem Vorbringen hat der Beschwerdeführer diese Schlussfolgerung nicht entkräften können. Dementsprechend ist davon auszugehen, dass er sowohl einbürgerungsrelevante Tatsachen verschwiegen als auch mit der Erklärung vom 13. Juni 2005 bewusst falsche Angaben über den Zustand seiner Ehe gemacht hat; hierdurch hat er sich seine erleichterte Einbürgerung erschlichen.</w:t>
      </w:r>
    </w:p>
    <w:p>
      <w:r>
        <w:rPr>
          <w:b/>
        </w:rPr>
        <w:t>E. 8</w:t>
      </w:r>
    </w:p>
    <w:p>
      <w:r>
        <w:t>Gemäss Art. 41 Abs. 3 BüG erstreckt sich die Nichtigkeit auf alle Familienmitglieder, deren Schweizer Bürgerrecht auf der nichtig erklärten Einbürgerung beruht, sofern nicht ausdrücklich anders verfügt wird. Wie sich aus dem elektronischen Personenstandsregister (Infostar) ergibt, hat der Beschwerdeführer am 2. März 2012 die Mutter seiner Kinder geheiratet. Aufgrund dessen ist das ihm erteilte Bürgerrecht von Sarnen (OW) auch als Bürgerrecht der gemeinsamen Kinder [ ... ] eingetragen worden. Gründe, die es rechtfertigen würden, die jetzt siebenjährigen Zwillinge von der Wirkung der Nichtigerklärung auszunehmen, sind aufgrund der Akten nicht ersichtlich, zumal sie vor der Eheschliessung ihrer Eltern über die kongolesische Staatsangehörigkeit der Mutter verfügten und daher nicht Gefahr laufen, staatenlos zu werden.</w:t>
      </w:r>
    </w:p>
    <w:p>
      <w:r>
        <w:rPr>
          <w:b/>
        </w:rPr>
        <w:t>E. 9</w:t>
      </w:r>
    </w:p>
    <w:p>
      <w:r>
        <w:t>Die vorinstanzliche Verfügung vom 30. Juni 2010 ist somit im Ergeb­nis als rechtmässig und angemessen zu bestätigen (Art. 49 VwVG) und die Beschwerde infolgedessen abzuweisen.</w:t>
      </w:r>
    </w:p>
    <w:p>
      <w:r>
        <w:rPr>
          <w:b/>
        </w:rPr>
        <w:t>E. 10</w:t>
      </w:r>
    </w:p>
    <w:p>
      <w:r>
        <w:t>Bei diesem Ausgang des Verfahrens sind dem Beschwerde­führer die Kosten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