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C-5400/2011 vom 17. August 2012</w:t>
      </w:r>
    </w:p>
    <w:p>
      <w:r>
        <w:t>Bundesverwaltungsgericht, 2012-08-17, FR</w:t>
      </w:r>
    </w:p>
    <w:p>
      <w:r>
        <w:rPr>
          <w:b/>
        </w:rPr>
        <w:t xml:space="preserve">Quelle: </w:t>
      </w:r>
      <w:r>
        <w:t>https://mcp.opencaselaw.ch/entscheid/bvger_C-5400_2011</w:t>
      </w:r>
    </w:p>
    <w:p>
      <w:r>
        <w:t>FR: TAF C-5400/2011 du 17 août 2012</w:t>
      </w:r>
    </w:p>
    <w:p>
      <w:r>
        <w:t>IT: TAF C-5400/2011 del 17 agosto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Tribunal administratif fédéral C 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l'ATF 135 II 1 consid. 1.1 et l'ATAF 2009/27 consid. 3, ainsi que la jurisprudence citée).</w:t>
      </w:r>
    </w:p>
    <w:p>
      <w:r>
        <w:rPr>
          <w:b/>
        </w:rPr>
        <w:t>E. 4.1</w:t>
      </w:r>
    </w:p>
    <w:p>
      <w:r>
        <w:t>Les dispositions sur la procédure en matière de visa ainsi que sur l'entrée en Suisse et la sortie de ce pays, contenues dans la loi fédérale du 16 décembre 2005 sur les étrangers (LEtr ; RS 142.20), ne s'appliquent que dans la mesure où les accords d'association à Schengen, qui sont mentionnés à l'annexe 1, ch. 1 de ladite loi,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turque, B._______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notamment les arrêts du Tribunal administratif fédéral C-8125/2010 du 21 juin 2011, consid. 5.2, et C 8610/2010 du 24 mai 2011, consid. 7).</w:t>
      </w:r>
    </w:p>
    <w:p>
      <w:r>
        <w:rPr>
          <w:b/>
        </w:rPr>
        <w:t>E. 7</w:t>
      </w:r>
    </w:p>
    <w:p>
      <w:r>
        <w:t>Au regard de la situation économique prévalant en Turquie où réside B._______, on ne saurait de prime abord écarter les craintes de l'ODM de voir l'intéressée prolonger son séjour en Suisse ou dans l'Espace Schengen au-delà de la date d'échéance du visa sollicité.</w:t>
      </w:r>
    </w:p>
    <w:p>
      <w:r>
        <w:rPr>
          <w:b/>
        </w:rPr>
        <w:t>E. 7.1</w:t>
      </w:r>
    </w:p>
    <w:p>
      <w:r>
        <w:t>Après avoir connu une importante contraction en 2009 (- 6 %), le produit intérieur brut (PIB) de la République de Turquie a connu une nouvelle période de forte croissance, de l'ordre de 8.9 % en 2010 et de 8.5 % en 2011. Selon les prévisions du Fonds monétaire international, la croissance devrait toutefois fortement ralentir en 2012 et s'établir à 0.4 % (source : http://www.diplomatie.gouv.fr pays - zones géo Turquie présentation, état au 11 avril 2012 [site internet consulté le 6 août 2012]). Le PIB par habitant s'élève à 10'400 USD, demeurant à un niveau notablement inférieur à celui de la Suisse (source : www.eda.admin.ch &gt; Représentations &gt; Europe &gt; Turquie &gt; Key data &gt; Per capita GDP 2010, état au 21 octobre 2011 [site internet consulté le 6 août 2012]). Quant au chômage, il s'élevait à un taux de 8 % de la population active à la fin de l'année 2011, légèrement inférieur au taux moyen dans les pays de l'Union européenne (source : www.epp.eurostat.ec.europa.eu &gt; tables préférées &gt; taux de chômage [site internet consulté le 6 août 2012]), mais supérieur de plus de cinq points à celui que connaissait la Suisse en juin 2012 (2.7 % ; source : www.seco.admin.ch &gt; chiffres du chômage &gt; la situation sur le marché du travail en juin 2012 [site internet consulté le 6 août 2012]). Malgré ces données économiques relativement positives, les fortes disparités persistant entre la Turquie et la Suisse ne sont pas sans provoquer une pression migratoire, en particulier sur la population jeune qui peine à trouver un emploi stable permettant de vivre de manière indépendante.</w:t>
      </w:r>
    </w:p>
    <w:p>
      <w:r>
        <w:rPr>
          <w:b/>
        </w:rPr>
        <w:t>E. 7.2</w:t>
      </w:r>
    </w:p>
    <w:p>
      <w:r>
        <w:t>Cela étant, l'autorité ne saurait se fonder sur la seule situation prévalant dans le pays de provenance de l'étranger pour conclure à l'absence de garantie quant à sa sortie de Suisse à l'échéance du visa demandé, mais doit également prendre en considération les particularités du cas d'espèce (cf. ATAF 2009/27 précité consid. 7 et 8). Ainsi, si la personne invitée assume d'importantes responsabilités dans sa patrie, au plan professionnel, familial et/ou social, un pronostic favorable pourra, suivant les circonstances,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Dans le cas d'espèce toutefois, il y a lieu de tenir compte du fait que l'intéressée est mineure. Partant, on ne saurait attendre d'elle, pour poser un pronostic favorable quant à sa volonté de retourner dans son pays à l'échéance du visa, qu'elle dispose de fortes attaches sur le plan professionnel et qu'elle assume des responsabilités familiales. Doivent dès lors être examinées tant la situation personnelle de B._______ que les raisons l'ayant poussée à requérir l'octroi d'un visa.</w:t>
      </w:r>
    </w:p>
    <w:p>
      <w:r>
        <w:rPr>
          <w:b/>
        </w:rPr>
        <w:t>E. 8.1</w:t>
      </w:r>
    </w:p>
    <w:p>
      <w:r>
        <w:t>Considérant la situation personnelle de B._______, il appert qu'elle est âgée d'un peu plus de dix-sept ans, qu'elle est célibataire et qu'elle fréquente le lycée (...), à Gaziantep, ville où elle réside. Elle achèvera ses études dans ce lycée, sauf redoublement, par l'obtention d'un diplôme en juin 2013 (cf. attestation du 22 décembre 2011 de la direction du Lycée [...]). B._______ souhaite ensuite pouvoir entrer à l'université. A cette fin, elle suit des cours privés en parallèle à ceux du lycée (cf. attestation de l'Ecole [...] du 19 novembre 2011). Dans son mémoire de recours, A._______ précise s'il s'agit de "cours spéci[aux] pour l'entrée à l'université en Turquie".</w:t>
      </w:r>
    </w:p>
    <w:p>
      <w:r>
        <w:rPr>
          <w:b/>
        </w:rPr>
        <w:t>E. 8.2</w:t>
      </w:r>
    </w:p>
    <w:p>
      <w:r>
        <w:t>A._______ souhaite accueillir sa prétendue fille, sur laquelle il déclare exercer le droit de garde, durant "deux à trois semaines" au cours des vacances scolaires de l'été 2012, en août 2012. Le recourant a affirmé, dans un courrier, cosigné avec son actuelle épouse, C._______, qu'il était hors de question que son invitée reste en Suisse au-delà de la durée du visa sollicité (cf. réplique du 25 novembre 2011).</w:t>
      </w:r>
    </w:p>
    <w:p>
      <w:r>
        <w:rPr>
          <w:b/>
        </w:rPr>
        <w:t>E. 8.2.1</w:t>
      </w:r>
    </w:p>
    <w:p>
      <w:r>
        <w:t>A l'examen des faits exposés par le recourant dans ses différentes écritures, le Tribunal relève tout d'abord que le lien de filiation invoqué entre A._______ et B._______ n'a pas pu être établi avec certitude. En effet, le recourant avait déclaré, à deux reprises au moins dans le passé, au cours de sa dernière procédure d'asile en Suisse, ne pas avoir d'enfant (cf. procès-verbal de l'audition du 2 mai 2003 au Centre d'enregistrement de Vallorbe, p. 3, ainsi que procès-verbal de l'audition du 20 mai 2003 effectuée par l'Office des requérants d'asile du canton de Vaud, p. 3). Les documents censés attester du lien de filiation, documents qui, malgré la requête expresse de l'autorité de céans, n'ont pas été produits en version originale et n'ont pas été traduits dans la langue de la procédure, ne permettent pas de lever, à satisfaction de droit, l'incertitude quant au fait que le recourant serait le père de son invitée. Le Tribunal constate par ailleurs que, lors des auditions précitées, le recourant avait affirmé que son père était décédé en 1993. Or, dans la présente procédure, A._______ expose que B._______ vit chez ses grands-parents paternels et verse au dossier une déclaration écrite d'un dénommé D._______, né le 1er juillet 1934, ainsi qu'une copie d'une pièce d'identité de ce dernier. La contradiction entre les déclarations faisant état d'un père décédé et l'affirmation selon laquelle celui-ci loge sa petite-fille est manifeste et n'est pas levée après analyse de la photocopie de la pièce d'identité de D._______. En effet, celle-ci indique une date de naissance ("00.00.1934") différente de celle mentionnée dans la "déclaration sur l'honneur" - prétendument signée par D._______ - produite en annexe au courrier du 30 juillet 2012 mentionnant, quant à elle, la date du "01.07.1934". Ce fait amène le Tribunal à éprouver des doutes au sujet de l'authenticité de cette pièce d'identité versée en photocopie au dossier.</w:t>
      </w:r>
    </w:p>
    <w:p>
      <w:r>
        <w:rPr>
          <w:b/>
        </w:rPr>
        <w:t>E. 8.2.2</w:t>
      </w:r>
    </w:p>
    <w:p>
      <w:r>
        <w:t>Interrogé au sujet des contradictions exposées ci-dessus, le recourant s'est borné à invoquer le fait que la personne l'ayant à l'époque auditionné en procédure d'asile ne parlait que la langue turque alors qu'il ne la comprend que peu, au contraire de la langue kurde, sa langue maternelle (cf. lettre du recourant du 30 juillet 2012, p. 2). Cette explication ne convainc pas le Tribunal. En effet, c'est à deux reprises et devant deux autorités différentes que le recourant a affirmé qu'il n'avait pas d'enfant et que son père était décédé. En outre, la seconde audition a eu lieu en présence d'un représentant d'une oeuvre d'entraide chargé de veiller au bon déroulement de l'interrogatoire. A la fin de celui-ci, cette personne n'a émis aucune objection et A._______, à qui le procès-verbal a été retraduit par l'interprète, a attesté par sa signature que ce document correspondait à ses propos et qu'il n'avait rien à ajouter. Enfin, au cours de cette même audition, contrairement à la première, le prénommé a expressément précisé qu'il comprenait bien l'interprète (cf. procès-verbal de l'audition du 20 mai 2003 effectuée par l'Office des requérants d'asile du canton de Vaud, p. 8). Ainsi, la thèse d'une mauvaise compréhension des questions, défendue par A._______, n'est pas crédible, en tout cas pas s'agissant de la seconde audition.</w:t>
      </w:r>
    </w:p>
    <w:p>
      <w:r>
        <w:rPr>
          <w:b/>
        </w:rPr>
        <w:t>E. 8.2.3</w:t>
      </w:r>
    </w:p>
    <w:p>
      <w:r>
        <w:t>Finalement, par surabondance, il y a lieu de relever que le recourant n'a pas été en mesure de prouver son affirmation selon laquelle il dispose du droit de garde sur B._______.</w:t>
      </w:r>
    </w:p>
    <w:p>
      <w:r>
        <w:rPr>
          <w:b/>
        </w:rPr>
        <w:t>E. 8.3</w:t>
      </w:r>
    </w:p>
    <w:p>
      <w:r>
        <w:t>Eu égard aux contradictions et aux incohérences émaillant le dossier et à l'impossibilité qui en résulte de déterminer avec précision le lien entre le recourant et B._______, de forts doutes subsistent quant aux intentions de cette dernière et aux buts exacts de son séjour en Suisse et ce, malgré les déclarations écrites, tant du recourant que de son épouse, insistant sur le fait que le retour de B._______ en Turquie à l'échéance du visa serait assuré compte tenu des études qu'elle suit. Dans ces conditions, le Tribunal ne saurait admettre que le retour de B._______ en Turquie à l'échéance du visa sollicité soit suffisamment garanti.</w:t>
      </w:r>
    </w:p>
    <w:p>
      <w:r>
        <w:rPr>
          <w:b/>
        </w:rPr>
        <w:t>E. 9</w:t>
      </w:r>
    </w:p>
    <w:p>
      <w:r>
        <w:t>Par ailleurs, le recourant n'a pas invoqué de raisons susceptibles de justifier la délivrance d'un visa à validité territoriale limitée (cf. ci-dessus, consid. 4.3).</w:t>
      </w:r>
    </w:p>
    <w:p>
      <w:r>
        <w:rPr>
          <w:b/>
        </w:rPr>
        <w:t>E. 10</w:t>
      </w:r>
    </w:p>
    <w:p>
      <w:r>
        <w:t>Au demeurant, le refus d'autorisation d'entrée prononcé par les autorités helvétiques n'a pas pour conséquence d'empêcher A._______ et B._______ de maintenir des liens, les intéressés pouvant tout aussi bien se rencontrer hors de Suisse, notamment en Turquie, comme cela est, aux dires du recourant, déjà le cas une fois l'an (cf. mémoire de recours, p. 2).</w:t>
      </w:r>
    </w:p>
    <w:p>
      <w:r>
        <w:rPr>
          <w:b/>
        </w:rPr>
        <w:t>E. 11</w:t>
      </w:r>
    </w:p>
    <w:p>
      <w:r>
        <w:t>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31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