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C-5397/2014 vom 25. September 2015</w:t>
      </w:r>
    </w:p>
    <w:p>
      <w:r>
        <w:t>Bundesverwaltungsgericht, 2015-09-25, DE</w:t>
      </w:r>
    </w:p>
    <w:p>
      <w:r>
        <w:rPr>
          <w:b/>
        </w:rPr>
        <w:t xml:space="preserve">Quelle: </w:t>
      </w:r>
      <w:r>
        <w:t>https://mcp.opencaselaw.ch/entscheid/bvger_C-5397_2014</w:t>
      </w:r>
    </w:p>
    <w:p>
      <w:r>
        <w:t>FR: TAF C-5397/2014 du 25 septembre 2015</w:t>
      </w:r>
    </w:p>
    <w:p>
      <w:r>
        <w:t>IT: TAF C-5397/2014 del 25 settembre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u.a. Verfügungen des BFM bzw.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vietnamesischen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Staatsangehörigkeit unterliegt die Gesuchstellerin der Visumspflicht (vgl. Anhang I zur Verordnung [EG] Nr. 539/2001 [ABl. L 81 vom 21.03.2001; zum vollständigen Quellennachweis vgl. Fuss­note zu Art. 4 Abs. 1 VEV]). Bei der Prüfung der Einreisevoraussetzungen nach Art. 5 Abs. 1 SGK steht die Frage der gesicherten Wiederausreise im Vordergrund.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Die in Richtung Marktwirtschaft gehenden Wirtschaftsreformen Vietnams waren in den vergangenen 25 Jahren äusserst erfolgreich. Das Land erlebte einen fulminanten wirtschaftlichen Aufschwung mit Wachstumsraten von zumeist 7 bis 8 Prozent. Im Jahr 2014 verzeichnete Vietnam ein Wirtschaftswachstum von 5,98% und konnte sogar die Zielvorgabe von 5,8% übertreffen. Die Inflation, die ab 2010 zunehmend problematisch wurde - sie betrug Ende 2011 18.1% - konnte inzwischen erfolgreich eingedämmt werden. Die Inflationsrate lag Ende Dezember 2014 bei 2,3% und im Jahresdurchschnitt unter 5%. Vietnam ist von einem der ärmsten Länder der Welt zu einem "Middle Income Country" aufgestiegen, und 2014 betrug das Bruttoinlandsprodukt 2072 USD pro Kopf. Allerdings ist das Einkommen zwischen Stadt und Land sehr ungleich verteilt. Nach wie vor leben 60% der Bevölkerung auf dem Land, wo jedoch nur 20% des Volkseinkommens erwirtschaftet wird (Quellen: Webseite des deutsches Auswärtigen Amtes: www.auswaertiges-amt.de, Aussen- und Europapolitik &gt; Länderinformationen &gt; Vietnam, Wirtschaft, Stand: März 2015, abgerufen am 1. September 2015, sowie Urteil des BVGer C-6302/2011 vom 12. April 2013 E. 6.1). Vor dem Hintergrund solcher wirtschaftlicher Diskrepanzen ist oft festzustellen, dass (vor allem jüngere, arbeitsfähige) Menschen aus ländlichen, wirtschaftlich schwachen Gebieten in die Städte abwandern und - falls sie dort wirtschaftlich nicht Fuss fassen können - ins Ausland emigrieren.</w:t>
      </w:r>
    </w:p>
    <w:p>
      <w:r>
        <w:rPr>
          <w:b/>
        </w:rPr>
        <w:t>E. 5.4</w:t>
      </w:r>
    </w:p>
    <w:p>
      <w:r>
        <w:t>Bei der Risikoanalyse sind allerdings nicht nur die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6.1</w:t>
      </w:r>
    </w:p>
    <w:p>
      <w:r>
        <w:t>Bei der Gesuchstellerin handelt es sich um eine 29-jährige, unverheiratete und kinderlose Frau. Aus den Vorakten zu schliessen (insbesondere der im "Household Registration Book" [SEM act. 1 S. 41 ff.] vermerkten Adresse) lebt sie zusammen mit ihren Eltern und vermutungsweise einem Bruder in familiärer Gemeinschaft in Hanoi. In der Beschwerde wird ausgeführt, sie habe familiäre Verpflichtungen ihren nicht mehr erwerbstätigen Eltern gegenüber; sie und ihr Bruder würden diese betreuen und finanziell unterstützen. Solche Verhältnisse sind durchaus sozialadäquat. Sie lassen sich aber meist auf verschiedene Weise organisieren und haben in aller Regel keine sozial absolut bindende Wirkung. Aus der nur oberflächlichen Schilderung durch den Beschwerdeführer - aber auch vor dem Hintergrund, dass die Gesuchstellerin eine mehrmonatige Landesabwesenheit plant und eine spätere Heirat und Emigration nicht gänzlich ausschliesst - kann jedenfalls nicht gefolgert werden, dass die Anwesenheit der Gesuchstellerin für ihr unmittelbares familiäres Umfeld auf lange Dauer zwingend notwendig wäre.</w:t>
      </w:r>
    </w:p>
    <w:p>
      <w:r>
        <w:rPr>
          <w:b/>
        </w:rPr>
        <w:t>E. 6.2</w:t>
      </w:r>
    </w:p>
    <w:p>
      <w:r>
        <w:t>Demgegenüber fällt bei der Risikobewertung positiv ins Gewicht, dass die Gesuchstellerin offenbar über eine gute Ausbildung verfügt, und stabile berufliche Verhältnisse vorweisen kann. Seit anfangs August 2009 arbeitet sie bei ein und derselben Firma für Bau und Handel in Hanoi als Leitern der Buchhaltungsabteilung. Dass es sich dabei nicht um eine bedeutungslose, leicht ersetzbare Tätigkeit handelt und sich Arbeitgeberin und Arbeitnehmerin besonders verbunden sind, davon zeugen nicht zuletzt die von der Gesuchstellerin bzw. vom Beschwerdeführer edierten geschäftlichen Unterlagen. Das bisher lückenlose Arbeitsverhältnis wurde per 1. August 2015 wiederum für weitere zwei Jahre vertraglich verlängert. Mit einem monatlichen Lohn von umgerechnet CHF 860.40, zuzüglich eines 13. Monatslohns und einer Umsatzbeteiligung von 1% erzielt die Gesuchstellerin ein Einkommen, das einem Vielfachen des Durchschnitteinkommens in Vietnam entspricht. Die Gesuchstellerin dürfte sich somit gemessen an vietnamesischen Verhältnissen - und vor allem dieser Vergleich ist in vorliegendem Zusammenhang massgebend - durchaus in einer privilegierten wirtschaftlichen und beruflichen Situation befinden. Mit dem Hinweis darauf, dass sie während einer allfälligen Landesabwesenheit in den elektronischen Geschäftsverkehr mit ihrer Arbeitgeberin eingebunden bliebe, liefert sie auch eine mögliche Erklärung dafür, weshalb ein so langes Fernbleiben vom Arbeitsplatz seitens der Arbeitgeberin überhaupt zugelassen würde und verkraftbar wäre.</w:t>
      </w:r>
    </w:p>
    <w:p>
      <w:r>
        <w:rPr>
          <w:b/>
        </w:rPr>
        <w:t>E. 6.3</w:t>
      </w:r>
    </w:p>
    <w:p>
      <w:r>
        <w:t>Ebenfalls im Sinne einer positiven Risikobewertung gilt schliesslich zu bedenken, dass sich die Beschwerdeführerin in der Vergangenheit bereits in andere Staaten im asiatischen Raum begeben hat (im laufenden Jahr gemäss Passeinträgen nach Malaysia und Singapur), und danach wieder in ihre Heimat zurückgekehrt ist.</w:t>
      </w:r>
    </w:p>
    <w:p>
      <w:r>
        <w:rPr>
          <w:b/>
        </w:rPr>
        <w:t>E. 6.4</w:t>
      </w:r>
    </w:p>
    <w:p>
      <w:r>
        <w:t>Im Übrigen scheint durchaus nachvollziehbar und glaubhaft, wie die Gesuchstellerin in ihrer schriftlichen Einsprache (SEM act. 2 S. 69 ff.) darlegte, weshalb sie kein Interesse daran haben könne, eine für einen befristeten Besuch bewilligte Ausreise zur definitiven Migration zu missbrauchen.</w:t>
      </w:r>
    </w:p>
    <w:p>
      <w:r>
        <w:rPr>
          <w:b/>
        </w:rPr>
        <w:t>E. 6.5</w:t>
      </w:r>
    </w:p>
    <w:p>
      <w:r>
        <w:t>Zwar kennen sich Gast und Gastgeber erst seit Dezember 2013 und damit noch nicht seit langer Zeit. Die Beiden stehen allerdings in einem sehr intensiven Kontakt zueinander, so aus den Schilderungen des Beschwerdeführers zu schliessen, an denen zu zweifeln kein Anlass besteht. In das gleiche Bild passt auch, dass der Beschwerdeführer die Gesuchstellerin seit anfangs 2014 bereits dreimal für jeweils mehrere Wochen besucht hat.</w:t>
      </w:r>
    </w:p>
    <w:p>
      <w:r>
        <w:rPr>
          <w:b/>
        </w:rPr>
        <w:t>E. 6.6</w:t>
      </w:r>
    </w:p>
    <w:p>
      <w:r>
        <w:t>Vor dem Hintergrund der aufgezeigten persönlichen Verhältnisse der Gesuchstellerin und des Engagements, das von Gast und Gastgeber im Hinblick auf eine Vertiefung ihrer Beziehung ausgeht, kann auf genügende Gewähr für lautere Absichten geschlossen werden. Auch wenn das Risiko für eine Missachtung ausländerrechtlicher Normen nie gänzlich ausgeschlossen werden kann, erscheint es vorliegend doch als gering. Mit anderen Worten ist nicht davon auszugehen, es bestünden Hinderungsgründe dieser Art gemäss Art. 5 SGK bzw. Art. 5 AuG für die Erteilung des beantragten Visums.</w:t>
      </w:r>
    </w:p>
    <w:p>
      <w:r>
        <w:rPr>
          <w:b/>
        </w:rPr>
        <w:t>E. 7</w:t>
      </w:r>
    </w:p>
    <w:p>
      <w:r>
        <w:t>Indem die Vorinstanz den entscheidrelevanten Sachverhalt im Ergebnis anders gewichtete, hat sie Bundesrecht verletzt (Art. 49 Bst. a VwVG). Soweit auf die Beschwerde einzutreten ist, ist sie gutzuheissen. Die angefochtene Verfügung ist aufzuheben und die Sache zur neuerlichen Beurteilung an die Vorinstanz zurückzuweisen. Dabei bleibt von der Vorinstanz zu prüfen, ob die übrigen Einreisevoraussetzungen (vgl. E. 4) erfüllt sind.</w:t>
      </w:r>
    </w:p>
    <w:p>
      <w:r>
        <w:rPr>
          <w:b/>
        </w:rPr>
        <w:t>E. 8</w:t>
      </w:r>
    </w:p>
    <w:p>
      <w:r>
        <w:t>Entsprechend dem Ausgang des Verfahrens sind weder dem Beschwerdeführer noch der Vorinstanz Kosten aufzuerlegen (Art. 63 Abs. 1 und 2 VwVG) und der geleistete Kostenvorschuss ist zurückzuerstatten. Eine Parteientschädigung ist nicht zuzusprechen, da dem nicht anwaltlich vertretenen Beschwerdeführer zur wirksamen Verfolgung seiner Interessen im Beschwerdeverfahren vermutungsweise keine notwendigen und verhältnismässig hohen Kosten erwachsen sind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