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C-5387/2008 vom 22. März 2010</w:t>
      </w:r>
    </w:p>
    <w:p>
      <w:r>
        <w:t>Bundesverwaltungsgericht, 2010-03-22, FR</w:t>
      </w:r>
    </w:p>
    <w:p>
      <w:r>
        <w:rPr>
          <w:b/>
        </w:rPr>
        <w:t xml:space="preserve">Quelle: </w:t>
      </w:r>
      <w:r>
        <w:t>https://mcp.opencaselaw.ch/entscheid/bvger_C-5387_2008</w:t>
      </w:r>
    </w:p>
    <w:p>
      <w:r>
        <w:t>FR: TAF C-5387/2008 du 22 mars 2010</w:t>
      </w:r>
    </w:p>
    <w:p>
      <w:r>
        <w:t>IT: TAF C-5387/2008 del 22 marzo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Il s'ensuit que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au 10 juin 2008, date de la décision attaquée, ne serait pas plus favorable au recourant (cf. arrêt du Tribunal administratif fédéral C-1224/2008 du 28 janvier 2010 consid. 2.2). Par conséquent, sauf indication contraire, les dispositions citées ci-après sont celles en vigueur jusqu'au 31 décembre 2007.</w:t>
      </w:r>
    </w:p>
    <w:p>
      <w:r>
        <w:rPr>
          <w:b/>
        </w:rPr>
        <w:t>E. 3.3</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24 mai 2006 (12 mois avant le dépôt de la demande) ou si le droit à une rente était né entre cette date et le 10 juin 2008,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Le recourant a versé des cotisations à l'AVS/AI pendant plus d'une année au total (pce 1)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arrêt du Tribunal fédéral I 424/04 du 18 octobre 2004 consid. 2.3).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w:t>
      </w:r>
    </w:p>
    <w:p>
      <w:r>
        <w:t>Est litigieux le droit du recourant à une rente d'invalidité, soit le point de savoir s'il présente un taux suffisant pour avoir droit à une rente.</w:t>
      </w:r>
    </w:p>
    <w:p>
      <w:r>
        <w:rPr>
          <w:b/>
        </w:rPr>
        <w:t>E. 9.1</w:t>
      </w:r>
    </w:p>
    <w:p>
      <w:r>
        <w:t>On relève tout d'abord que, selon le rapport E 213 du 7 juin 2007, le recourant souffre d'un status après infarctus du myocarde antérieur étendu en juillet 2006 suite à une maladie coronaire d'un vaisseau (descendant antérieur) traitée avec angioplastie et pontage, d'une insuffisance mitrale légère, d'une insuffisance tricuspide légère et d'une hypertension artérielle pulmonaire modérée-sévère (pce 70 p. 8 n° 7).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9.2</w:t>
      </w:r>
    </w:p>
    <w:p>
      <w:r>
        <w:t>Il convient ensuite d'examiner dans quelle mesure le recourant est à même d'exercer une activité lucrative sur le plan médical.</w:t>
      </w:r>
    </w:p>
    <w:p>
      <w:r>
        <w:rPr>
          <w:b/>
        </w:rPr>
        <w:t>E. 9.2.1</w:t>
      </w:r>
    </w:p>
    <w:p>
      <w:r>
        <w:t>A titre liminaire, on relève que, selon une jurisprudence constante, l'octroi d'une rente étrangère d'invalidité ne préjuge pas l'appréciation de l'invalidité selon la loi suisse, étant précisé que cette pratique n'est pas remise en cause par les traités internationaux en vigueur dont notamment l'ALCP (ATF 130 V 253 consid. 2.4; arrêt du Tribunal fédéral 8C_193/2009 du 25 janvier 2010 consid. 4.1). Dans l'affaire qui nous occupe, il n'est de ce fait pas déterminant que les institutions de sécurité sociale espagnoles aient reconnu à l'assurée une invalidité permanente par acte du 18 juin 2007 (cf. pces 13 et 75). Il n'y a ainsi pas lieu de se prononcer sur les divergences entre la notion d'invalidité selon la législation espagnole et celle selon l'ordre juridique suisse.</w:t>
      </w:r>
    </w:p>
    <w:p>
      <w:r>
        <w:rPr>
          <w:b/>
        </w:rPr>
        <w:t>E. 9.2.2</w:t>
      </w:r>
    </w:p>
    <w:p>
      <w:r>
        <w:t>Dans un rapport du 2 mars 2008 (pce 72), le Dr B._______, du service médical de l'OAIE, retient que, suite à l'infarctus subi en juillet 2006 et à la pose d'un stent, l'assuré ne peut plus effectuer des efforts importants et continus. Il ne souffre toutefois pas d'insuffisance cardiaque et les autres affections dont il est atteint n'ont pas d'incidences significatives sur sa capacité de gain. Il s'ensuit que l'intéressé présente une incapacité de travail de 70% dans sa profession de maçon mais que, en revanche, une activité plus légère est médicalement exigible de sa part à 100% dès le 15 septembre 2006 soit 6 semaines après son hospitalisation. La Dresse D._______, également du service médical de l'OAIE, a confirmé cette évaluation après avoir examiné la documentation médicale nouvelle produite par le recourant (rapport du 3 décembre 2008 [pce 84]; cf. également note interne du 11 juin 2006 [pce 81]). L'assuré conteste ces appréciations en se basant essentiellement sur les rapports médicaux des 4 décembre 2006 et 24 juillet 2008. Par ailleurs, il se réfère à l'avis d'un spécialiste en médecine interne qu'il ne nomme pas expressément, selon lequel un changement de profession apparaît difficile vu son âge et ses limitations fonctionnelles, à savoir aucun travail avec efforts et tension (pces 75; TAF 1 p. 2; voire également supra let. F.a).</w:t>
      </w:r>
    </w:p>
    <w:p>
      <w:r>
        <w:rPr>
          <w:b/>
        </w:rPr>
        <w:t>E. 9.2.3</w:t>
      </w:r>
    </w:p>
    <w:p>
      <w:r>
        <w:t>Cela étant, on relève que la Dresse E._______, dans un rapport E 213 du 7 juin 2007 (pce 70), pose les diagnostics en rapport avec les troubles cardiaques de l'assuré (p. 8 n° 7) et fait notamment part d'un état mental normal (p. 3 n° 4.1), d'une mobilité conservée de l'appareil loco-moteur, de mouvements et d'une marche normale (p. 5), d'une fraction d'éjection de 61.30% (p. 6 n° 5.4.3) et d'un degré II selon la classification de la New York Heart Association (NYHA; p. 8 n° 8). On note qu'un tel degré est retenu chez des patients présentant une insuffisance cardiaque asymptomatique au repos et devenant manifeste seulement après un grand effort physique (O. M. Hess, Insuffisance cardiaque: définition, étiologies et classifications, in: Forum Med Suisse n° 48 du 26 novembre 2003 p. 1158). Par ailleurs, si la Dresse E._______ ne répond pas aux questions 11.5-11.6 du rapport E 213 portant sur la capacité de travail de l'assuré dans une activité de substitution, elle atteste toutefois que le recourant peut accomplir de façon régulière une activité légère en alternant les postures de travail et en évitant les tâches requérant de gravir des plans inclinés, des échelles ou des escaliers ainsi que le port répété de charges (p. 8-10). Dans ces circonstances, il y a lieu de retenir que les données fournies par le rapport E 213 sont aucunement incompatibles avec l'appréciation de la capacité de travail du recourant dans une activité de substitution faite par le service médical de l'OAIE. Force est également de constater que la documentation médicale mis en avant par le recourant n'est pas de nature à semer un doute, même minime, quant aux conclusions de l'administration. Il en va de même des autres pièces au dossier qui ne contiennent aucune appréciation quant à la capacité de travail du recourant dans une activité de substitution. En particulier, on note que le Dr C._______, dans un rapport du 4 décembre 2006 (pce 58), conclut à une incapacité de travail totale de l'assuré dans son ancienne profession et semble également prendre en considération des activités adaptées (cf. supra let. F.a). Cette pièce médicale est toutefois dénuée de valeur probante étant donné qu'elle est peu claire quant à sa portée et que l'évaluation de la capacité de travail n'est aucunement motivée (arrêt du Tribunal fédéral 9C_980/2009 du 10 février 2009). Quoi qu'il en soit, cette évaluation est également remise en cause par le fait que ce même médecin, dans un rapport médical postérieur daté du 24 juillet 2008 (pce TAF 1 p. 3) fait part d'un patient actuellement dans un état stable sur le plan clinique sans angor ni dyspnée. Dans ces circonstances, le Tribunal de céans ne peut que se rallier aux conclusions de l'autorité inférieure et de son service médical qui retiennent une capacité de travail du recourant de 100% dans l'exercice d'une activité adaptée légère (cf à ce sujet supra let. C).</w:t>
      </w:r>
    </w:p>
    <w:p>
      <w:r>
        <w:rPr>
          <w:b/>
        </w:rPr>
        <w:t>E. 10.1</w:t>
      </w:r>
    </w:p>
    <w:p>
      <w:r>
        <w:t>L'assuré a droit à une rente s'il est invalide à 40% au moins (art. 28 al. 1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 jurisprudence du Tribunal fédéral,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raisonnablement la possibilité de mettre à profit sa capacité résiduelle de gain, et s'il peut ou non réaliser un revenu excluant le droit à une rente (ATF 110 V 276 consid. 4b; voir également ATF 127 V 298 consid. 4c).</w:t>
      </w:r>
    </w:p>
    <w:p>
      <w:r>
        <w:rPr>
          <w:b/>
        </w:rPr>
        <w:t>E. 10.2</w:t>
      </w:r>
    </w:p>
    <w:p>
      <w:r>
        <w:t>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(cf. arrêts du Tribunal fédéral 9C_236/2008 du 4 août 2008 consid. 4.2 et 9C_446/2008 du 18 septembre 2008 consid. 4.2);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w:t>
      </w:r>
    </w:p>
    <w:p>
      <w:r>
        <w:rPr>
          <w:b/>
        </w:rPr>
        <w:t>E. 10.3</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(arrêts du Tribunal fédéral I 61/05 du 27 juillet 2005 consid. 4.4 avec références, I 819/04 du 27 mai 2005 consid. 2.2).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du Tribunal fédéral I 1034/06 du 6 décembre 2007 consid. 3.3.3.2; I 61/05 du 27 juillet 2005 consid. 4.4; I 819/04 du 27 mai 2005 consid. 2.2; I 462/02 du 26 mai 2003 consid. 2 s; I 401/01 du 4 avril 2002 consid. 4; arrêt du Tribunal cantonal du canton de Fribourg du 10 juillet 2008, SVR 2009 IV n° 8).</w:t>
      </w:r>
    </w:p>
    <w:p>
      <w:r>
        <w:rPr>
          <w:b/>
        </w:rPr>
        <w:t>E. 10.4</w:t>
      </w:r>
    </w:p>
    <w:p>
      <w:r>
        <w:t>La date où le droit à la rente aurait pu naître au plus tôt est en principe le moment déterminant pour procéder à l'analyse globale de la situation (arrêt du Tribunal fédéral 9C_354/2009 du 7 décembre 2009 consid. 5.2; arrêts du Tribunal administratif fédéral C-474/2007 du 17 mars 2009 consid. 9.3.5; C-8549/2007 du 4 novembre 2009 consid. 9.3.5; quant à l'exigibilité d'un changement de profession voire également arrêt du Tribunal fédéral 9C_612/2007 du 14 juillet 2008 consid. 5.2; I 761/04 du 14 juin 2005 consid. 2.3 se référant à l'ATF 129 V 222; cf. toutefois ). En l'occurrence, il s'agit du 30 juillet 2007, soit à un moment où le recourant avait 61 ans et 4 mois (cf. supra let. C et consid. 9.1). L'assuré avait ainsi atteint un seuil à partir duquel on peut parler d'un âge avancé au sens de la jurisprudence susmentionnée (arrêt du Tribunal fédéral 9C_354/2009 du 7 décembre 2009 consid. 5.2), de sorte qu'une approche particulière s'impose. Il sied par ailleurs de relever que, dans un certain nombre d'arrêts, le Tribunal fédéral a également considéré comme moment déterminant la date du prononcé de la décision entreprise (cf. arrêt du Tribunal fédéral 9C_104/2008 consid. 4 et les références citées; voire également arrêt du Tribunal fédéral 9C_979/2009 du 10 février 2010 en rapport avec la version de la LAI en vigueur dès le 1er janvier 2008). Quoiqu'il en soit, force est de constater que, en l'espèce, même en se basant sur la date de la décision attaquée (l'assuré avait alors 62 mois et 3 mois), l'exercice d'une activité adaptée ne semble pas déraisonnable dans un marché du travail équilibré. En effet, quoi qu'en dise le recourant, il appert notamment du rapport médical E 213 et des prises de position du service médical de l'OAIE que les affections dont l'intéressé est atteint ne sont pas particulièrement invalidantes pour l'exercice des activités de substitution proposées par l'administration, exigibles à temps complet (cf. supra consid. 9.2.2 s.). En particulier, une adaptation du poste de travail aux limitations fonctionnelles du recourant n'est pas nécessaire ou de simple réalisation et l'assuré aurait pu exercer cette nouvelle activité pendant une durée suffisamment longue (2 ans et 9 mois). Au demeurant, les activités proposées ne demandent pas de formation particulièrement intensive, voire se limitent à une mise au courant initiale, si bien que les frais y relatifs d'un éventuel employeur auraient été limités. Le Tribunal de céans peut donc conclure qu'il n'est pas irréaliste que le recourant puisse trouver un travail de substitution adapté à son état de santé sur un marché équilibré du travail (voire également arrêts du Tribunal administratif fédéral C-474/2007 du 17 mars 2009 consid. 9.3.5, C-8549/2007 du 4 novembre 2009 consid. 9.3.5 et C-3346/2008 du 9 mars 2010 consid. 10.4).</w:t>
      </w:r>
    </w:p>
    <w:p>
      <w:r>
        <w:rPr>
          <w:b/>
        </w:rPr>
        <w:t>E. 11.1.1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Ce gain doit être comparé au moment déterminant avec celui que la personne valide aurait effectivement pu réaliser au degré de la vraisemblance prépondérante si elle était en bonne santé (ATF 129 V 224 consid. 4.3.1). Le gain de personne valide doit être évalué de manière aussi concrète que possible si bien qu'il convient, en règle générale, de se référer au dernier salaire que l'assuré a obtenu avant l'atteinte à la santé (ATF 135 V 58 consid. 3.1).</w:t>
      </w:r>
    </w:p>
    <w:p>
      <w:r>
        <w:rPr>
          <w:b/>
        </w:rPr>
        <w:t>E. 11.1.2</w:t>
      </w:r>
    </w:p>
    <w:p>
      <w:r>
        <w:t>Le Tribunal fédéral a précisé que la comparaison des revenus doit être effectuée en se référant en principe à la situation au moment où le droit à la rente aurait pu naître au plus tôt (ATF 129 V 222 consid. 4.1 et 4.4). Il convient toutefois d'effectuer une comparaison des revenus ultérieure si, jusqu'au moment où la décision est rendue, une modification des salaires de référence se produit et que celle-ci a une incidence sur l'ampleur de la rente (ATF 129 V 222 consid. 4.2).</w:t>
      </w:r>
    </w:p>
    <w:p>
      <w:r>
        <w:rPr>
          <w:b/>
        </w:rPr>
        <w:t>E. 11.1.3</w:t>
      </w:r>
    </w:p>
    <w:p>
      <w:r>
        <w:t>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w:t>
      </w:r>
    </w:p>
    <w:p>
      <w:r>
        <w:rPr>
          <w:b/>
        </w:rPr>
        <w:t>E. 11.1.4</w:t>
      </w:r>
    </w:p>
    <w:p>
      <w:r>
        <w:t>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11.2</w:t>
      </w:r>
    </w:p>
    <w:p>
      <w:r>
        <w:t>En l'espèce, l'OAIE a effectué une évaluation de l'invalidité selon la méthode générale. On note que le recourant n'a pas contesté cette manière de faire sans qu'il y ait une raison d'intervenir d'office à cet égard. L'administration a procédé à une comparaison de revenus entre le salaire mensuel moyen d'un salarié avec des connaissances professionnelles spécialisées en 2006 (salaire de valide) dans le secteur de la construction avec un revenu théorique moyen 2006 pour des activités de substitution simples et répétitives proposées par le service médical de l'OAIE (salaire avec invalidité), soit dans les secteurs « commerce de gros; intermédiaire du commerce», « commerce de détail, réparation d'articles domestiques », « Informatique, Recherche et développement, services fournis aux entreprises» et « autres services collectifs et personnels ». Ayant en outre effectué une réduction de 25% pour tenir compte des particularités du cas d'espèce, l'autorité inférieure a constaté que l'assuré, du fait de son invalidité, subissait une diminution de sa capacité de gain de 37.76% ([{5'652.44 - 3'517.85} x 100] : 5'652.44; cf. supra consid. D). Il s'agit toutefois en principe de comparer les revenus en fonction de ce qu'ils étaient, ou auraient pu être, en 2007, douze mois après l'apparition des atteintes causant l'incapacité (art. 29 al. 1 let. b LAI; ATF 129 V 222 consid. 4.3.1 et 4.4; ATF 128 V 174; arrêt du Tribunal administratif fédéral C-4599/2007 du 27 avril 2009 consid. 10.1), soit en l'espèce le 30 juillet 2007 (cf. prise de position médicale du Dr B._______ du 2 mars 2008 [pce 72] et supra consid. 9.1). En l'occurrence, la comparaison des revenus doit donc être effectuée sur la bases des données salariales portant sur l'année 2007. A défaut de données statistiques précises pour l'année 2007, il sied par conséquent de reprendre les données retenues par l'autorité inférieure et de les ajuster à l'indexation des salaires (dans le secteur de la construction; + 1.7%; dans les secteurs des activités de substitution: respectivement + 1.5%; + 1.7%, + 2.1 et + 0.7%) et à l'horaire usuel dans les secteurs concernés en 2007 (dans le secteur de la construction: 41.7 h./sem.; dans les secteurs des activité de substitution: respectivement: 41.9, 41.6, 41.6 et 41.8). En procédant de la sorte, on obtient un revenu sans invalidité de Fr. 5'748.53 et un salaire d'invalide de Fr. 4'764.43. Selon l'avis de l'administration, il y a encore lieu de réduire ce dernier montant de 25%, à savoir l'abattement maximal admis par la jurisprudence (cf. supra 11.4), pour tenir compte des particularités du cas d'espèce (75% de 4'764.43 = Fr. 3'573.32). Le Tribunal de céans ne voit aucune raison de remettre en cause cette réduction, l'autorité inférieure ayant usé de son pouvoir d'appréciation de façon conforme au droit. Il convient donc de comparer un revenu de valide de Fr. 5'748.53 à un salaire avec invalidité de Fr. 3'573.32, ce qui fait apparaître un préjudice économique de 37.84% ([{5'748.53 - 3'573.32} x 100] : 5'748.53). Ce taux d'invalidité ne donne toutefois pas droit à une rente (cf. supra consid. 5.3). Pour le surplus, on note qu'il en irait de même si la comparaison des revenus était effectuée en fonction des données ESS 2008, date de la décision entreprise ([{5'826.08 - 3'555.88} x 100] : 5'826.08 = 38.97%).</w:t>
      </w:r>
    </w:p>
    <w:p>
      <w:r>
        <w:rPr>
          <w:b/>
        </w:rPr>
        <w:t>E. 12</w:t>
      </w:r>
    </w:p>
    <w:p>
      <w:r>
        <w:t>Au vu de ce qui précède, il appert que la décision entreprise doit être confirmée et le recours rejeté.</w:t>
      </w:r>
    </w:p>
    <w:p>
      <w:r>
        <w:rPr>
          <w:b/>
        </w:rPr>
        <w:t>E. 13</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300-.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