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C-5381/2017 vom 25. Juli 2019</w:t>
      </w:r>
    </w:p>
    <w:p>
      <w:r>
        <w:t>Bundesverwaltungsgericht, 2019-07-25, DE</w:t>
      </w:r>
    </w:p>
    <w:p>
      <w:r>
        <w:rPr>
          <w:b/>
        </w:rPr>
        <w:t xml:space="preserve">Quelle: </w:t>
      </w:r>
      <w:r>
        <w:t>https://mcp.opencaselaw.ch/entscheid/bvger_C-5381_2017</w:t>
      </w:r>
    </w:p>
    <w:p>
      <w:r>
        <w:t>FR: TAF C-5381/2017 du 25 juillet 2019</w:t>
      </w:r>
    </w:p>
    <w:p>
      <w:r>
        <w:t>IT: TAF C-5381/2017 del 25 luglio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Vorinstanz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 bis über den gesundheitsbedingten Abbruch der beruflichen Tätigkeit hinaus - als Grenzgänger in (...) angestellt (vgl. Sachverhalt Bst. A) und lebte, namentlich auch im Zeitpunkt der Anmeldung, in (...) (Deutschland), wo er heute noch lebt. Unter diesen Umständen war die kantonale IV-Stelle für die Entgegennahme und Prüfung der Neuanmeldung und die Vorinstanz für den Erlass der angefochtenen Verfügung zuständig.</w:t>
      </w:r>
    </w:p>
    <w:p>
      <w:r>
        <w:rPr>
          <w:b/>
        </w:rPr>
        <w:t>E. 3</w:t>
      </w:r>
    </w:p>
    <w:p>
      <w:r>
        <w:t>Anfechtungsobjekt und damit Begrenzung des Streitgegenstands des vorliegenden Beschwerdeverfahrens (vgl. BGE 131 V 164 E. 2.1) bildet die Verfügung vom 18. August 2017, mit welcher die Vorinstanz das Gesuch des Beschwerdeführers um die Gewährung einer Invalidenrente aufgrund eines Invaliditätsgrad von 30 % abgewiesen hat. Prozessthema ist daher vorliegend die Frage, ob der Beschwerdeführer Anspruch auf eine Rente der schweizerischen Invalidenversicherung hat.</w:t>
      </w:r>
    </w:p>
    <w:p>
      <w:r>
        <w:rPr>
          <w:b/>
        </w:rPr>
        <w:t>E. 4.1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 w. H.), was sich auch mit dem Inkrafttreten der oben erwähnten Verordnungen am 1. April 2012 nicht geändert hat (vgl. Urteil des BVGer C-3985/2012 vom 25. Februar 2013 E. 2.1). Demnach richtet sich die Beurteilung der vorliegend streitigen Frage des Anspruchs des Beschwerdeführers auf eine schweizerische Invalidenrente alleine nach schweizerischem Recht.</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18. August 2017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18. August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5.1</w:t>
      </w:r>
    </w:p>
    <w:p>
      <w:r>
        <w:t>Anspruch auf eine Rente der schweizerischen Invalidenversicherung hat, wer invalid im Sinne des Gesetzes ist (vgl. Art. 8 Abs. 1 ATSG) und beim Eintritt der Invalidität während mindestens drei Jahren Beiträge an die Alters-, Hinterlassenen- und Invalidenversicherung (AHV/IV) geleistet hat (Art. 36 Abs. 1 IVG). Diese Voraussetzungen müssen kumulativ gegeben sein. Vorliegend hat der Beschwerdeführer im Zeitpunkt der Anmeldung während weit über drei Jahren in der Schweiz als Grenzgänger gearbeitet, womit die Voraussetzung hinsichtlich der Beitragszeiten eindeutig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5.4</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4.1)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5.5</w:t>
      </w:r>
    </w:p>
    <w:p>
      <w:r>
        <w:t>Die IV-Stelle prüft die Begehren, nimmt die notwendigen Abklärungen von Amtes wegen vor und holt die erforderlichen Auskünfte ein (Art. 43 Abs. 1 ATSG, Art. 57 Abs. 3 IVG, Art. 69 Abs. 2 IVV).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5.7</w:t>
      </w:r>
    </w:p>
    <w:p>
      <w:r>
        <w:t>Die Anerkennung eines rentenbegründenden Invaliditätsgrades ist nur zulässig, wenn die funktionellen Auswirkungen der medizinisch festgestellten gesundheitlichen Anspruchsgrundlage im Einzelfall anhand der Standardindikatoren im Rahmen eines indikatorengeleiteten Beweisverfahrens schlüssig und widerspruchsfrei mit (zumindest) überwiegender Wahrscheinlichkeit nachgewiesen sind (BGE 141 V 574 E. 6). Entscheidend bleibt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143 V 418 E. 6).</w:t>
      </w:r>
    </w:p>
    <w:p>
      <w:r>
        <w:rPr>
          <w:b/>
        </w:rPr>
        <w:t>E. 5.8</w:t>
      </w:r>
    </w:p>
    <w:p>
      <w:r>
        <w:t>Das indikatorengeleitete Beweisverfahren ist grundsätzlich auf alle psychischen Störungen anzuwenden. Auch affektive Störungen, einschliesslich der leichten bis mittelschweren depressiven Erkrankungen, werden dem strukturierten Beweisverfahren unterstellt (BGE 143 V 418 E. 7.1 mit Hinweis auf BGE 143 V 409). Je nach Krankheitsbild bedarf es dabei allenfalls gewisser Anpassungen hinsichtlich der Wertung einzelner Indikatoren (BGE 143 V 418 E. 7.1).</w:t>
      </w:r>
    </w:p>
    <w:p>
      <w:r>
        <w:rPr>
          <w:b/>
        </w:rPr>
        <w:t>E. 5.9</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(siehe auch BGE 141 V 281 E. 2.2; Urteil des BGer 9C_534/2015 E. 2.2.2 mit Hinweisen). Ausserdem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5.10</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5.11</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5.12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 w. 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6</w:t>
      </w:r>
    </w:p>
    <w:p>
      <w:r>
        <w:t>In der vorliegend angefochtenen Verfügung vom 18. August 2017 stellte die Vorinstanz in medizinischer Hinsicht auf das Gutachten der D._______ vom 21. Januar 2016 sowie die diesbezüglich eingeholte RAD-Stellungnahme ab. Der Beschwerdeführer erklärte seinerseits mit Beschwerdeschrift vom 21. September 2017 ausdrücklich, die Feststellungen zur Arbeitsfähigkeit im Gutachten D._______ nicht (mehr) zu bestreiten.</w:t>
      </w:r>
    </w:p>
    <w:p>
      <w:r>
        <w:rPr>
          <w:b/>
        </w:rPr>
        <w:t>E. 6.1</w:t>
      </w:r>
    </w:p>
    <w:p>
      <w:r>
        <w:t>Im polydisziplinären (orthopädischen, rheumatologischen, neurologischen, internistischen und psychiatrischen) Gutachten der D._______ vom 21. Januar 2016 stellten die Gutachter insgesamt die nachfolgenden Diagnosen mit Auswirkung auf die Arbeitsfähigkeit (letzte Tätigkeit): chronifiziertes myofasziales Schmerzsyndrom; chronifiziertes zervikospondylogenes Syndrom mit/bei o Osteochondrose C6/C7, C7/Th1 und beginnend C5/6, o Diskusprotrusionen C6/C7 und C7/Th1, o Spondylolisthesis C6 und o wahrscheinlicher Instabilität des Bewegungssegmentes C6/C7, derzeit ohne Hinweise auf Wurzel- oder Myelon-Kompression; chronifiziertes lumbospondylogenes Syndrom mit o rechts mediolateraler bis foraminaler Diskushernie L5/S1. Keine Auswirkung auf die Arbeitsfähigkeit (letzte Tätigkeit) hätten die Diagnosen: Anpassungsstörung (ICD-10 F43.2); Somatisierungsstörung (ICD-10 F45.0); leichtes Impingementsyndrom des linken Schultergelenks nach arthroskopischer Dekompression ohne wesentliche Funktionseinschränkung; funktioneller Schwindel; Tinnitus links; Meralgia paraesthetica rechts, Einklemmungs-Neuropathie des Nervus cutaneus femoris lateralis; Refluxösophagitis; Verdacht auf Reizdarm. In ihrer versicherungsmedizinischen Konsensualbeurteilung stellten die Gurtachter zusammenfassend Folgendes fest: In rheumatologischer Hinsicht seien die diagnostischen Kriterien für ein klassisches Fibromyalgiesyndrom nicht erfüllt. Es sei davon auszugehen, dass das chronische Schmerzsyndrom zu einer leichtgradigen, allgemeinen Dekonditionierung geführt habe. Im rheumatologischen sowie orthopädischen Gutachten seien das qualitative Leistungsvermögen und die körperliche Arbeitsschwere unterschiedlich eingeschätzt worden, da rheumatologisch zusätzlich die Diagnose des chronifizierten myofaszialen Schmerzsyndroms erhoben worden sei. In neurologischer Hinsicht seien bezüglich des Schwindels sehr viele Abklärungen durchgeführt worden, insbesondere ein Kernspintomogramm des Schädels, welches normal ausgefallen sei. Die bereits früher getroffene Einschätzung der psychosomatischen respektive funktionellen Natur der Beschwerden sei zu bestätigen. In psychischer Hinsicht sei der Schweregrad der Pathologie und der daraus resultierenden Einschränkungen im täglichen Leben als leichtgradig anzusehen. Ohne die körperlichen Symptome wäre das Krankheitsbild nicht entstanden, weshalb die Diagnose der Anpassungsstörung vorliege. Es sei möglich, dass das Vermeidungsverhalten des Beschwerdeführers aufgrund des chronischen Schmerzsyndroms zu einer muskulären Dysbalance geführt habe, die nun ihrerseits einen erheblichen - organmedizinisch nachvollziehbaren - Anteil an der Schmerzstörung einnehme. Allein das Vermeidungs- und Schonverhalten rechtfertige indessen nicht die Diagnose einer somatoformen Schmerzstörung, weshalb aus psychiatrischer Sicht darauf verzichtet worden sei. Hingegen entbehrten einzelne Symptome wie Taubheit im Gesichtsbereich und unspezifische Schwankschwindel einer nachvollziehbaren organmedizinischen Begründung, weshalb diesbezüglich von einer Somatisierungsstörung auszugehen sei. Diese habe erhebliche Auswirkungen auf den Alltag des Versicherten (so gehe er zum Beispiel infolge Schwindels nicht alleine aus dem Haus), sei jedoch als willentlich überwindbar einzustufen. Insgesamt sei der Beschwerdeführer seit dem 19. Juli 2012 in seiner zuletzt ausgeübten Tätigkeit als Chemiemitarbeiter nicht mehr arbeitsfähig. Die Arbeitsfähigkeit in leidensadaptierter Tätigkeit betrage demgegenüber unter Berücksichtigung des qualitativen Leistungsprofils 100 % und sei dem Beschwerdeführer im Umfang von 8.5 Stunden pro Tag zumutbar. Das Belastungs-/ Ressourcenprofil im polydisziplinären Konsens erlaube es dem Beschwerdeführer, repetitive Gewichte von sieben bis zehn Kilogramm anzuheben sowie über kürzere Strecken zu tragen und während einer bis eineinhalb Stunden zu sitzen oder zu stehen. Dabei seien Tätigkeiten in der chronischen, monotonen Vorneigehaltung, in kniender oder kauender Position sowie Arbeiten auf oder über Schulterhöhe (Kopfreklination) zu vermeiden (IV-act. 151). Im orthopädischen Teilgutachten wurde sodann darauf hingewiesen, dass das vom Beschwerdeführer anlässlich der Untersuchung getragene Gipskorsett kaum Gebrauchsspuren aufgewiesen habe und sich der Beschwerdeführer nach Ablegen des Korsetts ohne fremde Hilfe in die Positionswechsel sitzend, stehend und liegend habe begeben können (IV-act. 151 S. 29 und 32 f.). Im psychiatrischen Teilgutachten wurden ferner die Standardindikatoren in Bezug auf die darin diagnostizierte Somatisierungsstörung sowie Anpassungsstörung (beides ohne eine Auswirkung auf die Arbeitsfähigkeit) geprüft. Unter dem Standardfaktor des Komplexes "Persönlichkeit" stellte die psychiatrische Gutachterin fest, es lägen keine Hinweise für eine Persönlichkeitsstörung oder Persönlichkeitszüge, welche die Fähigkeit zur willentlichen Überwindung der Erkrankungen behindern würden. Unter dem Komplex "sozialer Kontext" hielt sie fest, dass der Beschwerdeführer sozial gut eingebunden sei und die Familie diesen in seinem Störungsmodell unterstütze, was indessen von Nachteil sein könnte (IV-act. 151 S. 48 f.). Der RAD schloss sich in seiner Stellungnahme vom 25. April 2016 (IV-act. 153) der D._______-Begutachtung an.</w:t>
      </w:r>
    </w:p>
    <w:p>
      <w:r>
        <w:rPr>
          <w:b/>
        </w:rPr>
        <w:t>E. 6.2</w:t>
      </w:r>
    </w:p>
    <w:p>
      <w:r>
        <w:t>In Würdigung der medizinischen Ausgangslage steht für das Bundesverwaltungsgericht fest, dass das D._______-Gutachten vom 21. Januar 2016 vollständig, nachvollziehbar begründet sowie in den Schlussfolgerungen sowohl in Bezug auf die gestellten Diagnosen als auch die darauf basierende verbleibende Restarbeitsfähigkeit des Beschwerdeführers schlüssig ist. Es gründet auf der vollständigen medizinischen Aktenlage, welche im Gutachten eingangs umfassend dargestellt sowie in der gutachterlichen Würdigung mitberücksichtigt wurde (vgl. vorangehend E. 5.12). In Bezug auf die psychiatrischen Diagnosen wurden ausserdem die Standardindikatoren gemäss BGE 141 V 281 i.V.m. BGE 143 V 418 (vgl. vorangehend E. 5.7 f.) geprüft, obwohl dies vorliegend aufgrund der in der Folge in nachvollziehbar begründeter Weise verneinten Auswirkungen der psychiatrischen Diagnosen auf die Arbeitsfähigkeit des Beschwerdeführers nicht zwingend erforderlich gewesen wäre (siehe E. 5.9 vorletzter Satz). Schliesslich ändern die vom Beschwerdeführer nachgereichten Berichte nichts an der Beweiskraft des Gutachtens. Damit hat der RAD sowie in der Folge die Vorinstanz zu Recht für die Beurteilung des Gesundheitszustands sowie der Arbeitsfähigkeit des Beschwerdeführers auf das Gutachten der D._______ vom 21. Januar 2016 abgestellt.</w:t>
      </w:r>
    </w:p>
    <w:p>
      <w:r>
        <w:rPr>
          <w:b/>
        </w:rPr>
        <w:t>E. 6.3</w:t>
      </w:r>
    </w:p>
    <w:p>
      <w:r>
        <w:t>Nach dem Gesagten ist von einer vollen Arbeitsunfähigkeit des Beschwerdeführers in seiner bisherigen beruflichen Tätigkeit auszugehen. Hingegen ist dem Beschwerdeführer die Ausübung einer Verweisungstätigkeit in Vollzeit zumutbar, bei welcher er repetitive Gewichte von sieben bis zehn Kilogramm anheben sowie über kürzere Strecken zu tragen hat und während maximal einer bis eineinhalb Stunden am Stück sitzen oder stehen muss, unter Vermeidung von Tätigkeiten in einer monotonen Vorneigehaltung, in kniender oder kauender Position sowie auf oder über Schulterhöhe (vgl. E. 6.1 i.V.m. 6.5).</w:t>
      </w:r>
    </w:p>
    <w:p>
      <w:r>
        <w:rPr>
          <w:b/>
        </w:rPr>
        <w:t>E. 7</w:t>
      </w:r>
    </w:p>
    <w:p>
      <w:r>
        <w:t>Im Folgenden ist der durch die Vorinstanz vorgenommene, in der Begründung der angefochtenen Verfügung vom 18. August 2017 wiedergegebene Einkommensvergleich (IV-act. 178 S. 2 f.) zu überprüfen.</w:t>
      </w:r>
    </w:p>
    <w:p>
      <w:r>
        <w:rPr>
          <w:b/>
        </w:rPr>
        <w:t>E. 7.1</w:t>
      </w:r>
    </w:p>
    <w:p>
      <w:r>
        <w:t>Bei erwerbstätigen Versicherten ist der Invaliditätsgrad gemäss Art. 16 ATSG i.V.m.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7.2</w:t>
      </w:r>
    </w:p>
    <w:p>
      <w:r>
        <w:t>Die Vorinstanz hat bei dem von ihr vorgenommenen Einkommensvergleich auf die Vergleichslöhne des Jahres 2015 abgestellt. Für das ohne gesundheitliche Einschränkungen erzielbare Einkommen ging sie von dem vom Beschwerdeführer bei der ehemaligen Arbeitgeberin im Jahr 2012 effektiv erzielten Jahreseinkommmen von Fr. 126'970.35 aus, welches sie in der Folge unter Berücksichtigung der Nominallohnentwicklung von 2.6 % im Sektor Industrie bis 2015 indexierte, was ein Valideneinkommen 2015 von Fr. 130'300.- ergab. Für das Invalideneinkommen ging die Vorinstanz von der Schweizerischen Lohnstrukturerhebung (LSE) des Bundesamts für Statistik (BFS) 2012, privater Sektor, Total Männer, Kompetenzniveau 3, im Betrag von Fr. 7'204.- pro Monat, basierend auf 40 Wochenstunden, aus. Bezüglich des dem Beschwerdeführer angerechneten Kompetenzniveaus führte sie aus, dieser verfüge über einen Abschluss als Elektroinstallateur und langjährige Berufserfahrung. Es werde keine geistige Einschränkung angenommen, weshalb auf dem freien Arbeitsmarkt von einem hohen Kompetenzniveau auszugehen sei. Unter Anpassung dieses Tabellenlohnes an die Nominallohnentwicklung von 1.8 % bis 2015 sowie Umrechnung dieses auf die betriebsübliche wöchentliche Arbeitszeit von 41.7 Stunden sowie auf das Jahr berechnete die Vorinstanz ein Invalideneinkommen von Fr. 91'753.- (IV-act. 178 S. 3 unten).</w:t>
      </w:r>
    </w:p>
    <w:p>
      <w:r>
        <w:rPr>
          <w:b/>
        </w:rPr>
        <w:t>E. 7.3</w:t>
      </w:r>
    </w:p>
    <w:p>
      <w:r>
        <w:t>Der Beschwerdeführer erklärte sich in seiner Beschwerde vom 21. September 2017 grundsätzlich mit dem von der Vorinstanz verwendeten Valideneinkommen einverstanden. Hierbei seien jedoch beide Vergleichseinkommen auf der Basis des Jahres 2013 (Zeitpunkt nach Ablauf des Wartejahres) - statt des Jahres 2015, wie von der Vorinstanz angenommen - zu bemessen. Ausserdem rügte er die von der Vorinstanz vorgenommene Festlegung des Invalideneinkommens. Er beanstandete zwar nicht die Verwendung der Tabellenlöhne gemäss LSE, jedoch das ihm von der Vorinstanz angerechnete Kompetenzniveau 3. Hierbei wies er darauf hin, dass er aufgrund seiner gesundheitlichen Einschränkungen weder den erlernten noch den zuletzt ausgeübten Beruf mehr ausüben könne. Ausserdem seien die im erlernten Beruf als Elektroinstallateur erworbenen Kenntnisse veraltet. Die im zuletzt ausgeübten Beruf als Anlagewart in der chemischen Industrie erworbenen Kenntnisse seien wiederum so betriebsspezifisch, dass sie ihm für die Ausübung einer angepassten beruflichen Tätigkeit keinen Vorteil brächten. Angemessen sei daher die Verwendung des Kompetenzniveaus 1. Schliesslich zeige bereits der Umstand, wonach sowohl sein erlernter als auch sein zuletzt ausgeübter Beruf zum Kompetenzniveau 2 gehörten, dass das von der Vorinstanz verwendete Kompetenzniveau 3 nicht zutreffen könne. Zu diesen beiden Einwänden des Beschwerdeführers gegen das von der Vorinstanz angewandte Kompetenzniveau äusserte sich jene (respektive die kantonale IV-Stelle) im vorliegenden Beschwerdeverfahren nicht, wie der Beschwerdeführer in seiner Replik vom 5. Februar 2018 zu Recht monierte (vgl. Sachverhalt Bst. F).</w:t>
      </w:r>
    </w:p>
    <w:p>
      <w:r>
        <w:rPr>
          <w:b/>
        </w:rPr>
        <w:t>E. 7.4</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 Vorliegend steht aufgrund des Gutachtens der D._______ vom 21. Januar 2016 fest, dass der Beschwerdeführer für seinen zuletzt ausgeübten Beruf seit dem 19. Juli 2012 arbeitsunfähig ist (vgl. vorangehend E. 6.1). Das Wartejahr gemäss Art. 28 Abs. 1 Bst. b IVG ist somit am 19. Juli 2013 abgelaufen. Ausserdem hat sich der Beschwerdeführer am 1. Oktober 2012 (rechtzeitig) bei der kantonalen IV-Stelle zum Leistungsbezug angemeldet, womit vorliegend die Karenzzeit gemäss Art. 29 Abs. 1 IVG bereits am 1. April 2013 abgelaufen ist. Ein Rentenanspruch konnte damit vorliegend frühestens ab dem 1. Juli 2013 (am ersten Tag des Monats nach Ablauf des Wartejahrs gemäss Art. 28 Abs. 1 Bst. b IVG; vgl. Art. 29 Abs. 3 IVG) entstehen. Der Einkommensvergleich ist damit vorliegend - abweichend von den Feststellungen der Vorinstanz - gestützt auf die Vergleichseinkommen des Jahres 2013 vorzunehmen, wie dies der Beschwerdeführer in seiner Beschwerdeschrift vom 21. September 2017 korrekt dargelegt hat.</w:t>
      </w:r>
    </w:p>
    <w:p>
      <w:r>
        <w:rPr>
          <w:b/>
        </w:rPr>
        <w:t>E. 7.5</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Vorliegend war der Beschwerdeführer noch während des gesamten Jahres 2012 bei seiner bisherigen Arbeitgeberin als Schichtarbeiter/ Chemiemitarbeiter angestellt (vgl. Sachverhalt Bst. A). Im Jahr 2012 erzielte er hierbei ein Einkommen von Fr. 126'970.35 (IV-act. 21 S. 3). Dieses vom Beschwerdeführer zuletzt erzielte Einkommen ist an die Nominallohnentwicklung bis 2013 (vgl. E. 7.4 Abs. 2) anzupassen. Gemäss der Tabelle des BFS T1.1.10 "Nominallohnindex Männer 2011-2017" (abrufbar unter: https://www.bfs.admin.ch/bfsstatic/dam/assets/5128917/master; zuletzt abgerufen am 5. Juni 2019), Kategorie CD, CE, CF, Ziff. 19-21, "Kokerei und Mineralölverarbeitung, Herstellung von chemischen und pharmazeutischen Erzeugnissen" betrug die Veränderung im Jahr 2013 gegenüber dem Vorjahr 1 %. Das vorliegend massgebende Valideneinkommen des Jahres 2013 beträgt damit Fr. 128'240.-, wie dies der Beschwerdeführer in seiner Beschwerdeschrift vom 21. September 2017 korrekt hergeleitet hat.</w:t>
      </w:r>
    </w:p>
    <w:p>
      <w:r>
        <w:rPr>
          <w:b/>
        </w:rPr>
        <w:t>E. 7.6</w:t>
      </w:r>
    </w:p>
    <w:p>
      <w:r>
        <w:t>Für die Festsetzung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(Urteil des BGer 9C_841/2013 vom 7. März 2014 E. 4.2).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7.6.1</w:t>
      </w:r>
    </w:p>
    <w:p>
      <w:r>
        <w:t>Vorliegend hat der Beschwerdeführer die Anwendbarkeit der LSE Tabellenlöhne zur Bemessung des Invalideneinkommens nicht bestritten. Hingegen bringt er gegen das von der Vorinstanz angenommene Kompetenzniveau 3 vor, dass sowohl sein erlernter Beruf als Elektroinstallateur als auch seine angestammte berufliche Tätigkeit als Chemiemitarbeiter lediglich dem Kompetenzniveau 2 der vorliegend anwendbaren LSE 2012 zuzuordnen seien. Wie in der Ziff. 2.1 (auf Seite 11) der LSE 2012 (abrufbar unter https://www.bfs.admin.ch/bfs/de/home/statistiken/kataloge-datenbanken/publikationen.assetdetail.349377.html; zuletzt abgerufen am 3. Juni 2019) dargestellt, hat das BFS in der LSE 2012 die Löhne gemäss der Internationalen Standardklassifikation der Berufe (ISCO-88 COM; abrufbar unter https://www.bibb.de/dokumente/pdf/a22_bibb-baua-erwerbstaetigenbefragung_2005-06_isco88.pdf; zuletzt abgerufen am 3. Juni 2019) veröffentlicht und die Beschäftigten, je nach Art der Arbeit, die in der Regel ausgeführt wird, in verschiedene Berufsgruppen eingeteilt. Die ISCO-88 COM klassifiziert auf der Seite 3 die vorliegend fraglichen Berufe des Elektroinstallateurs sowie des Chemiemitarbeiters unter den Ziffern 724 (Elektro- und Elektronikmechaniker und -monteure) sowie 815 (Bediener chemischer Verfahrensanlagen). Sowohl die übergeordnete Kategorie 7 (Handwerks- und verwandte Berufe) als auch 8 (Anlagen- und Maschinenbediener sowie Montierer) hat das BFS in der LSE 2012, Tabelle T1, monatlicher Bruttolohn (Zentralwert; auf S. 12 der LSE 2012) nach Berufsgruppen, Lebensalter und Kompetenzniveau, unter dem Kompetenzniveau 2 mit der Beschreibung "praktische Tätigkeit wie Verkauf/(Pflege/Datenverarbeitung und Administration/Bedienen von Maschinen und elektronischen Geräten/Sicherheitsdienst/Fahrdienst" eingeordnet. Demgegenüber fordert das BFS für die Einordnung in das Kompentenzniveau 3 die Ausübung komplexer praktischer Tätigkeiten, welche ein grosses Wissen in einem Spezialgebiet voraussetzen. Als Berufe führt es hierfür - unter Verweis auf die Internationale Standardklassifikation der ausgeübten Berufe ISCO - Techniker/-innen und gleichrangige nichttechnische Berufe auf. Die ISCO-88 COM, Seite 2 oben, nennt ihrerseits als Beispielberufe Datenverarbeitungsfachkräfte, Schiffs-, Flugzeugführer und verwandte Berufe, Lehrkräfte, Zoll-, Steuer- und verwandte Fachkräfte der öffentlichen Verwaltung, Polizeikommissare und Detektive. Indem der Beschwerdeführer seine angestammte Tätigkeit in Schichtarbeit ausübte und hauptsächlich in der Produktion mitarbeitete, sich demgegenüber regelmässige Anlagenrundgänge respektive ein Umbau der Mehrzweckanlagen auf weniger als einen Drittel sowie allfällige Unterhaltsarbeiten auf insgesamt weniger als 5 % der Arbeitszeit beschränkten (vgl. IV-act. 21), übte er in der Regel eine typische praktische Tätigkeit des Kompetenzniveaus 2 aus. Hingegen erreichte er in seiner angestammten beruflichen Tätigkeit offensichtlich nicht den Selbstständigkeitsgrad, welcher für die Ausübung einer beruflichen Tätigkeit im Kompentenzniveau 3 gefordert wird. Ebenfalls können die im angestammten Beruf faktisch erlangten technischen Kenntnisse nicht ohne Weiteres mit dem unter dem Kompentenzniveau 3 geforderten Fachwissen, welches insbesondere eine entsprechende Fachausbildung voraussetzt, gleichgesetzt werden. Die Vorinstanz ging daher in ihrer Vernehmlassung zu Unrecht davon aus, dass bereits aufgrund der Ausbildung des Beschwerdeführers sowie seiner zuletzt ausgeübten beruflichen Tätigkeit von einem hohen Kompetenzniveau (respektive dem Kompetenzniveau 3) ausgegangen werden könne.</w:t>
      </w:r>
    </w:p>
    <w:p>
      <w:r>
        <w:rPr>
          <w:b/>
        </w:rPr>
        <w:t>E. 7.6.2</w:t>
      </w:r>
    </w:p>
    <w:p>
      <w:r>
        <w:t>Darüber hinaus ist vorliegend zu berücksichtigen, dass das dem Beschwerdeführer nach Eintritt des Gesundheitsschadens noch zumutbare Belastungsprofil mit einigen nicht unerheblichen gesundheitlichen Einschränkungen einhergeht. So bedeutet die Limitierung der regelmässig zu tragenden Gewichte auf sieben bis zehn Kilogramm eine massive Einschränkung, gerade in handwerklichen sowie industriellen Berufen. Die zeitliche Limitierung der Arbeitspositionen im Sitzen oder Stehen auf jeweils eine bis eineinhalb Stunden erlaubt sodann nurmehr die Ausübung von wechselbelastenden Berufen und geht ebenfalls mit einer grossen Einschränkung der noch möglichen beruflichen Tätigkeiten einher. Es ist dem Beschwerdeführer daher beizupflichten, dass unter diesen Umständen lediglich noch einfache Tätigkeiten körperlicher oder handwerklicher Art für ihn in Frage kommen. Anzurechnen ist ihm daher das tiefste Kompetenzniveau 1.</w:t>
      </w:r>
    </w:p>
    <w:p>
      <w:r>
        <w:rPr>
          <w:b/>
        </w:rPr>
        <w:t>E. 7.6.3</w:t>
      </w:r>
    </w:p>
    <w:p>
      <w:r>
        <w:t>Der Tabellenlohn gemäss LSE 2012, Tabelle TA1, monatlicher Bruttolohn (Zentralwert) nach Wirtschaftszweigen, Kompetenzniveau und Geschlecht, privater Sektor beträgt im Kompetenzniveau 1, Total Männer, basierend auf 40 Arbeitsstunden pro Woche, Fr. 5'210.-. Umgerechnet auf die betriebsübliche durchschnittliche Wochenarbeitszeit von total 41.7 Stunden im Jahr 2012 (vgl. Tabelle "Betriebsübliche Arbeitszeit nach Wirtschaftsabteilungen", abrufbar unter https://www.bfs.admin.ch/bfs/de/ home/statistiken/arbeit-erwerb/erhebungen/bua.assetdetail.5287370.html; zuletzt abgerufen am 3. Juni 2019) ergibt dies einen Jahreslohn 2012 von Fr. 65'177.-. Angepasst an die Nominallohnentwicklung bis 2013 von total 0.7 % (abrufbar unter: https://www.bfs.admin.ch/bfsstatic/dam/assets/ 255159/master; zuletzt abgerufen am 5. Juni 2019) resultiert somit ein Invalideneinkommen von Fr. 65'633.-.</w:t>
      </w:r>
    </w:p>
    <w:p>
      <w:r>
        <w:rPr>
          <w:b/>
        </w:rPr>
        <w:t>E. 7.7</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Vorliegend hat die Vorinstanz (respektive die kantonale IV-Stelle) nicht geprüft, ob dem Beschwerdeführer ein Abzug vom Tabellenlohn zu gewähren ist. Damit hat sie ihr Ermessen eindeutig unterschritten. Tatsächlich sind beim Beschwerdeführer keine invaliditätsfremden Gründe ersichtlich, welche zu einer Reduktion seines erzielbaren Invalidenlohnes führen könnten. Der Beschwerdeführer hat auch keine solchen geltend gemacht. Die ihm im Gutachten des D._______ bescheinigten funktionellen Einschränkungen hat das Bundesverwaltungsgericht bereits mit der Anrechnung des tiefsten Kompetenzniveaus 1 vollumfänglich berücksichtigt. Damit ist das Absehen von der Vornahme eines Abzugs vom Tabellenlohn der Vorinstanz im Ergebnis zu schützen.</w:t>
      </w:r>
    </w:p>
    <w:p>
      <w:r>
        <w:rPr>
          <w:b/>
        </w:rPr>
        <w:t>E. 7.8</w:t>
      </w:r>
    </w:p>
    <w:p>
      <w:r>
        <w:t>Der Einkommensvergleich stellt sich somit wie folgt dar: Dem Valideneinkommen von Fr. 128'240.- steht ein Invalideneinkommen von Fr. 65'633.- gegenüber, woraus eine Erwerbseinbusse von 48.82 % resultiert. Dieses Ergebnis ist nach den mathematischen Rundungsregeln aufzurunden auf einen Invaliditätsgrad von 49 % (BGE 130 V 121, E. 3).</w:t>
      </w:r>
    </w:p>
    <w:p>
      <w:r>
        <w:rPr>
          <w:b/>
        </w:rPr>
        <w:t>E. 7.9</w:t>
      </w:r>
    </w:p>
    <w:p>
      <w:r>
        <w:t>Damit ist die Beschwerde vollumfänglich gutzuheissen und dem Beschwerdeführer antragsgemäss gestützt auf einen Invaliditätsgrad von 49 % eine Viertelsrente (Art. 28 Abs. 2 IVG) mit Wirkung ab dem 1. Juli 2013 (vgl. E. 7.4 Abs. 2) zuzusprechen. Die Akten gehen zur Berechnung und Festsetzung der Rente an die Vorinstanz.</w:t>
      </w:r>
    </w:p>
    <w:p>
      <w:r>
        <w:rPr>
          <w:b/>
        </w:rPr>
        <w:t>E. 8.1</w:t>
      </w:r>
    </w:p>
    <w:p>
      <w:r>
        <w:t>Der vollumfänglich obsiegende, anwaltlich vertretene Beschwerdeführer hat gemäss Art. 64 Abs. 1 VwVG i.V.m. Art. 7 ff. des Reglements vom 21. Februar 2008 über die Kosten und Entschädigungen vor dem Bundesverwaltungsgericht (VGKE, SR 173.320.2) Anspruch auf eine Parteientschädigung zu Lasten der Verwaltung. Da er keine Kostennote eingereicht hat,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1'800.- (inkl. Auslagen) angemessen (Art. 9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