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C-5381/2009 vom 7. April 2011</w:t>
      </w:r>
    </w:p>
    <w:p>
      <w:r>
        <w:t>Bundesverwaltungsgericht, 2011-04-07, FR</w:t>
      </w:r>
    </w:p>
    <w:p>
      <w:r>
        <w:rPr>
          <w:b/>
        </w:rPr>
        <w:t xml:space="preserve">Quelle: </w:t>
      </w:r>
      <w:r>
        <w:t>https://mcp.opencaselaw.ch/entscheid/bvger_C-5381_2009</w:t>
      </w:r>
    </w:p>
    <w:p>
      <w:r>
        <w:t>FR: TAF C-5381/2009 du 7 avril 2011</w:t>
      </w:r>
    </w:p>
    <w:p>
      <w:r>
        <w:t>IT: TAF C-5381/2009 del 7 aprile 2011</w:t>
      </w:r>
    </w:p>
    <w:p>
      <w:pPr>
        <w:pStyle w:val="Heading2"/>
      </w:pPr>
      <w:r>
        <w:t>Regeste</w:t>
      </w:r>
    </w:p>
    <w:p>
      <w:r>
        <w:t>Assurance-invalidité (AI)</w:t>
      </w:r>
    </w:p>
    <w:p>
      <w:pPr>
        <w:pStyle w:val="Heading2"/>
      </w:pPr>
      <w:r>
        <w:t>Erwägungen</w:t>
      </w:r>
    </w:p>
    <w:p>
      <w:r>
        <w:rPr>
          <w:b/>
        </w:rPr>
        <w:t>E. 1</w:t>
      </w:r>
    </w:p>
    <w:p>
      <w:r>
        <w:t>Le recourant est citoyen d'un Etat membre de la Communauté européenne. Par conséquent, est applicable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1.1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En application de l'art. 87 al. 3 RAI,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d'entrer en matière. Si l'administration entre en matière sur la demande, elle doit instruire la cause et déterminer si la modification du degré d'invalidité rendue plausible par l'assuré s'est effectivement produite (ATF 130 V 71 consid. 2.2; arrêt du tribunal fédéral 9C_881/2007 du 22 février 2008 consid. 2.2).</w:t>
      </w:r>
    </w:p>
    <w:p>
      <w:r>
        <w:rPr>
          <w:b/>
        </w:rPr>
        <w:t>E. 1.2</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1.3</w:t>
      </w:r>
    </w:p>
    <w:p>
      <w:r>
        <w:t>Selon l'art. 88a al. 2 RAI, si l'incapacité de gain ou la capacité d'accomplir les travaux habituels ou l'impotence ou le besoin de soins découlant de l'invalidité d'un assuré s'aggrave, il y a lieu de considérer que ce changement accroît, le cas échéant, le droit aux prestations dès qu'il a duré trois mois sans interruption notable. L'augmentation de la rente ou de l'allocation pour impotent prend effet, au plus tôt, si la révision est demandée par l'assuré, dès le mois où cette demande est présentée (art. 88bis al. 2 let. a RAI). 2. En l'espèce, le Tribunal peut se limiter à examiner si l'état de santé du recourant s'est modifié de manière à influer sur le droit à la rente entre le 11 novembre 2008, date de la dernière décision entrée en force, et le 24 juin 2009, date de la décision attaquée.</w:t>
      </w:r>
    </w:p>
    <w:p>
      <w:r>
        <w:rPr>
          <w:b/>
        </w:rPr>
        <w:t>E. 1.4</w:t>
      </w:r>
    </w:p>
    <w:p>
      <w:r>
        <w:t>Déposé en temps utile, dans les formes requises par la loi (art. 60 LPGA et 52 PA), et l'avance sur les frais de procédure ayant été dûment acquittée, le recours est recevable.</w:t>
      </w:r>
    </w:p>
    <w:p>
      <w:r>
        <w:rPr>
          <w:b/>
        </w:rPr>
        <w:t>E. 2</w:t>
      </w:r>
    </w:p>
    <w:p>
      <w:r>
        <w:t>L'examen du droit à des prestations AI est régi par la teneur de la LAI au moment de la décision entreprise, eu égard au principe selon lequel les règles applicables sont celles en vigueur au moment où les faits juridiquement déterminants se sont produits (ATF 130 V 445 consid. 1.2). La décision litigieuse étant datée du 11 novembre 2008, les disposition de la 5ème révision de la LAI entrées en vigueur le 1er janvier 2008 (RO 2007 5129) sont applicables à la présente cause. Dans ce contexte, on note que les dispositions légales concernant les demandes de révision suite à une modification de l'état de santé (art. 17 al. 2 LPGA; art. 87ss du règlement du 17 janvier 1961 sur l'assurance-invalidité [RAI, RS 831.201]) n'ont subi aucune modification avec l'entrée en vigueur de la 5ème révision de la LAI.</w:t>
      </w:r>
    </w:p>
    <w:p>
      <w:r>
        <w:rPr>
          <w:b/>
        </w:rPr>
        <w:t>E. 2.1</w:t>
      </w:r>
    </w:p>
    <w:p>
      <w:r>
        <w:t>Le 11 novembre 2008, l'OAIE a rendu une décision remplaçant la rente entière servie jusque-là à l'assuré par un trois-quarts de rente dès le 1er janvier 2009 (pce 198). L'autorité inférieure a constaté une amélioration nette de l'état de santé de X._______ après l'opération gastrique subie et l'absence de récidive, ainsi qu'une amélioration sur le plan psychique. Cette décision du 11 novembre 2008 n'a pas fait l'objet de recours et est entrée en force. Trois mois à peine après ce prononcé, l'assuré a déposé, le 5 février 2009 une demande de révision de sa rente. A l'appui de son recours, il a joint une traduction en français, datée du 30 janvier 2009, d'un certificat médical établi par le Dr K._______. X._______ a mentionné que ce médecin lui avait reconnu une incapacité de travail de 86% et a demandé à ce que l'OAIE réapprécie son cas à l'aune de cette pièce.</w:t>
      </w:r>
    </w:p>
    <w:p>
      <w:r>
        <w:rPr>
          <w:b/>
        </w:rPr>
        <w:t>E. 2.2</w:t>
      </w:r>
    </w:p>
    <w:p>
      <w:r>
        <w:t>Pourtant, force est de constater que le recourant n'indique pas en quoi sa situation médicale se serait péjorée depuis le 11 novembre 2008. En effet, il ne fournit aucun document récent, postérieur à cette date, susceptible de remettre en cause les conclusions retenues par le service médical de l'OAIE, ni n'avance une argumentation convaincante propre à modifier l'appréciation médicale qui y est contenue. En particulier, le Tribunal se doit d'observer que la seule véritable pièce produite à l'appui de la demande de révision est la traduction (pce 214) d'un certificat médical du Dr K._______ du 30 janvier 2009 (pce 213). Cependant, ce document reprend mot pour mot un précédent certificat du Dr K._______, daté lui du 18 septembre 2008 (pce 194). Il s'agit donc d'un rapport médical qui était connu de l'OAIE et qui avait déjà été analysé et pris en compte par le Dr J._______ en octobre 2008 (pce 196) lors de la procédure ayant abouti à la décision du 11 novembre 2008. Or, à l'époque, le Dr J._______ avait clairement mentionné que ce certificat du Dr K._______ n'apportait pas d'élément médical nouveau de nature à remettre en cause l'amélioration clinique constatée après l'opération gastrique et l'absence de récidive (pce 196), un avis qui n'a pas été contesté par le recourant. Partant, on ne saurait aujourd'hui déduire de ce certificat du Dr K._______ une péjoration de l'état de santé du recourant.Il apparaît ainsi qu'aucune modification de l'invalidité n'est intervenue durant la période examinée. C'est donc à bon droit que l'autorité inférieure n'est pas entrée en matière sur la demande de révision. En conséquence, le recours doit être rejeté et la décision du 24 juin 2009 confirmée.</w:t>
      </w:r>
    </w:p>
    <w:p>
      <w:r>
        <w:rPr>
          <w:b/>
        </w:rPr>
        <w:t>E. 3</w:t>
      </w:r>
    </w:p>
    <w:p>
      <w:r>
        <w:t>Les frais de procédure, fixés à Fr. 400.--, sont mis à la charge du recourant (art. 63 al. 1 PA, applicable par le truchement de l'art. 37 LTAF). Ils sont compensés par l'avance de frais de Fr. 400.-- dont il s'est acquitté au cours de l'instruction. Vu l'issue du litige, il n'est pas alloué de dépens (art. 7 al. 1 a contrario du règlement du 21 février 2008 concernant les frais, dépens et indemnités fixés par le Tribunal administratif fédéral [FITAF, RS 173.320.2]). (dispositif page suivante)</w:t>
      </w:r>
    </w:p>
    <w:p>
      <w:r>
        <w:rPr>
          <w:b/>
        </w:rPr>
        <w:t>E. 3.1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3.2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Suite à l'entrée en vigueur de l'ALCP, les ressortissants d'un Etat membre de la Communauté européenne qui présentent un degré d'invalidité de 40% au moins ont droit à un quart de rente s'ils ont leur domicile et leur résidence habituelle sur le sol d'un Etat membre. 1. Le recourant a, le 5 février 2009, présenté une demande de révision de sa rente, sur laquelle l'OAIE n'est pas entrée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