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C-537/2019 vom 25. Juli 2019</w:t>
      </w:r>
    </w:p>
    <w:p>
      <w:r>
        <w:t>Bundesverwaltungsgericht, 2019-07-25, DE</w:t>
      </w:r>
    </w:p>
    <w:p>
      <w:r>
        <w:rPr>
          <w:b/>
        </w:rPr>
        <w:t xml:space="preserve">Quelle: </w:t>
      </w:r>
      <w:r>
        <w:t>https://mcp.opencaselaw.ch/entscheid/bvger_C-537_2019</w:t>
      </w:r>
    </w:p>
    <w:p>
      <w:r>
        <w:t>FR: TAF C-537/2019 du 25 juillet 2019</w:t>
      </w:r>
    </w:p>
    <w:p>
      <w:r>
        <w:t>IT: TAF C-537/2019 del 25 luglio 2019</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vorliegen und auf die Beschwerde einzutreten ist (Art. 7 Abs. 1 VwVG [SR 172.021]; BVGE 2007/6 E. 1 mit Hinweisen; vgl. auch Urteil des BVGer C-3291/2017, C-3304/2017 vom 18. Oktober 2017 E. 2).</w:t>
      </w:r>
    </w:p>
    <w:p>
      <w:r>
        <w:rPr>
          <w:b/>
        </w:rPr>
        <w:t>E. 1.1</w:t>
      </w:r>
    </w:p>
    <w:p>
      <w:r>
        <w:t>Bei der Fristwiederherstellung handelt es sich um einen speziellen Rechtsbehelf, der im Sozialversicherungsverfahren in Art. 41 i.V.m. Art. 60 Abs. 2 ATSG sowie für das Bundesverwaltungsverfahren im Allgemeinen in 24 Abs. 1 VwVG geregelt ist. Art. 41 ATSG ist dabei in Übereinstimmung mit Art. 24 Abs. 1 VwVG geschaffen worden. Die zu dieser Bestimmung entwickelte Praxis hat insoweit auch Bedeutung für das Verständnis von Art. 41 ATSG (Ueli Kieser, ATSG-Kommentar, 3. Aufl. 2015, Art. 41 N. 3). Zuständig für die Behandlung des Wiederherstellungsbegehrens ist jene Instanz, welche bei Gewährung der Wiederherstellung über die nachgeholte Parteihandlung respektive Rechtsvorkehr entscheiden muss (Patricia Egli, in: Waldmann/Weissenberger [Hrsg.], Praxiskommentar Verwaltungsverfahrensgesetz, 2016, Art. 24 N. 6). Nachdem das Bundesverwaltungsgericht im Hauptverfahren zuständig ist (vgl. dazu Art. 31, 32 und 33 Bst. d VGG; Art. 69 Abs. 1 Bst. b IVG [SR 831.20]), ist es auch für die Behandlung des vorliegenden Fristwiederherstellungsgesuchs zuständig (Urteile des BVGer C-1247/2014 vom 2. April 2014; C-7104/2008 vom 23. Dezember 2008 E. 1.1). Soweit das Verwaltungsgerichtsgesetz vom 17. Juni 2005 (VGG, SR 173.32) nichts anderes bestimmt, richtet sich das Verfahren gemäss dessen Art. 37 nach dem VwVG.</w:t>
      </w:r>
    </w:p>
    <w:p>
      <w:r>
        <w:rPr>
          <w:b/>
        </w:rPr>
        <w:t>E. 1.2</w:t>
      </w:r>
    </w:p>
    <w:p>
      <w:r>
        <w:t>Die Beschwerdeführerin ist als Partei durch die angefochtene Verfügung vom 27. Oktober 2017 berührt und hat ein schutzwürdiges Interesse an der Wiederherstellung der Frist zur Einreichung der Beschwerde respektive an der Aufhebung der angefochtenen Verfügung. Die Legitimation ist damit gegeben (Art. 59 ATSG; vgl. Art. 48 VwVG). Die Beschwerdeschrift genügt zudem in formeller Hinsicht den gesetzlichen Anforderungen (Art. 52 Abs. 1 VwVG) und der Kostenvorschuss wurde fristgerecht überwiesen.</w:t>
      </w:r>
    </w:p>
    <w:p>
      <w:r>
        <w:rPr>
          <w:b/>
        </w:rPr>
        <w:t>E. 1.3</w:t>
      </w:r>
    </w:p>
    <w:p>
      <w:r>
        <w:t>Nachdem die 30-tägige Frist zur Erhebung einer Beschwerde gegen die Verfügung vom 27. Oktober 2017 abgelaufen ist, ist auf die erst mit Eingabe vom 29. Januar 2019 erhobene Beschwerde grundsätzlich nicht einzutreten, es sei denn, die Beschwerdeführerin könne sich auf einen Grund zur Wiederherstellung der Frist berufen.</w:t>
      </w:r>
    </w:p>
    <w:p>
      <w:r>
        <w:rPr>
          <w:b/>
        </w:rPr>
        <w:t>E. 1.4</w:t>
      </w:r>
    </w:p>
    <w:p>
      <w:r>
        <w:t>Gemäss Art. 24 Abs. 1 VwVG kann eine unverschuldet versäumte Frist wiederhergestellt werden, sofern unter Angabe des Grundes innert 30 Tagen nach Wegfall des Hindernisses darum ersucht und die versäumte Rechtshandlung nachgeholt wird. Laut Angaben der Beschwerdeführerin erhielt ihre Rechtsvertreterin anlässlich eines am 8. Januar 2019 geführten Telefonats von der geltend gemachten Auskunft der Sachbearbeiterin der IV-Stelle Kenntnis. Das Fristwiederherstellungsgesuch wurde mit Beschwerdeeingabe vom 29. Januar 2019 (Poststempel) beim Bundesverwaltungsgericht eingereicht. Am 29. Januar 2019, und damit innerhalb der 30-tägigen Frist, wurde zudem die versäumte Rechtshandlung (Einreichung der Beschwerde) nachgeholt. Auf das Fristwiederherstellungsgesuch ist somit einzutreten.</w:t>
      </w:r>
    </w:p>
    <w:p>
      <w:r>
        <w:rPr>
          <w:b/>
        </w:rPr>
        <w:t>E. 2</w:t>
      </w:r>
    </w:p>
    <w:p>
      <w:r>
        <w:t>Im Folgenden gilt es zu prüfen, ob die Beschwerdeführerin im Sinne von Art. 41 ATSG beziehungsweise Art. 24 Abs. 1 VwVG unverschuldet davon abgehalten worden sei, innert Frist zu handeln.</w:t>
      </w:r>
    </w:p>
    <w:p>
      <w:r>
        <w:rPr>
          <w:b/>
        </w:rPr>
        <w:t>E. 2.1</w:t>
      </w:r>
    </w:p>
    <w:p>
      <w:r>
        <w:t>Die Rechtsprechung zur Wiederherstellung der Frist ist allgemein sehr restriktiv (vgl. André Moser/Michael Beusch/Lorenz Kneubühler, Prozessieren vor dem Bundesverwaltungsgericht, 2. Aufl. 2013, Rz. 2.139 mit Hinweisen auf die Praxis). Als unverschuldete Hindernisse gelten etwa Naturkatastrophen, obligatorischer Militärdienst oder schwerwiegende Erkrankung, nicht aber organisatorische Unzulänglichkeiten, Arbeitsüberlastung, Ferienabwesenheit oder Unkenntnis der gesetzlichen Vorschriften (Stephan Vogel, in: Auer/Müller/Schindler, 2. Aufl. 2019, Art. 24 N 10). Überdies können auch subjektive Umstände eine Wiederherstellung rechtfertigen. Vorwerfbar ist in diesen Fällen eine Säumnis, wenn es der Pflichtige an der zumutbaren Aufmerksamkeit hat fehlen lassen. Im Interesse der Rechtssicherheit und eines geordneten Verfahrens darf ein Hinderungsgrund nicht leichthin angenommen werden. Als unverschuldet im Sinne von Art. 24 Abs. 1 VwVG kann ein Versäumnis nur dann gelten, wenn dafür objektive Gründe vorliegen und der Partei respektive der Vertretung keine Nachlässigkeit vorgeworfen werden kann. Als erheblich sind mit anderen Worten nur solche Gründe zu betrachten, welche der Partei auch bei Aufwendung der üblichen Sorgfalt die Wahrung ihrer Interessen verunmöglicht oder unzumutbar erschwert hätten (Moser/Beusch/Kneubühler, a.a.O., Rz. 2.140 ff. mit Hinweisen).</w:t>
      </w:r>
    </w:p>
    <w:p>
      <w:r>
        <w:rPr>
          <w:b/>
        </w:rPr>
        <w:t>E. 2.2.1</w:t>
      </w:r>
    </w:p>
    <w:p>
      <w:r>
        <w:t>Im Beschwerdeverfahren vor dem Bundesverwaltungsgericht ist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(Moser/Beusch/Kneubühler, a.a.O., Rz. 1.49). Die Beschwerdeinstanz ist jedenfalls nicht verpflichtet, über die tatsächlichen Vorbringen der Parteien hinaus den Sachverhalt vollkommen neu zu erforschen (BGE 122 V 157 E. 1a; BGE 121 V 204 E. 6c; BVGE 2007/27 E. 3.3; vgl. Urteil des BVGer A-1746/2016 vom 17. Januar 2017 E. 1.4; Moser/Beusch/Kneubühler, a.a.O., Rz. 1.52).</w:t>
      </w:r>
    </w:p>
    <w:p>
      <w:r>
        <w:rPr>
          <w:b/>
        </w:rPr>
        <w:t>E. 2.2.2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A-1746/2016 vom 17. Januar 2017 E. 1.5.2 und A-3119/2014 vom 27. Oktober 2014 E. 2.5; Moser/Beusch/Kneubühler, a.a.O., Rz. 3.149 ff.).</w:t>
      </w:r>
    </w:p>
    <w:p>
      <w:r>
        <w:rPr>
          <w:b/>
        </w:rPr>
        <w:t>E. 2.3.1</w:t>
      </w:r>
    </w:p>
    <w:p>
      <w:r>
        <w:t>Die Beschwerdeführerin macht zur Begründung ihres Wiederherstellungsbegehrens geltend, sie treffe kein Verschulden, weil ihr die zuständige Sachbearbeiterin die falsche Auskunft erteilt habe, dass eine Neuanmeldung - und nicht eine Anfechtung der Verfügung vom 27. Oktober 2017 - unter den gegebenen Umständen das richtige Vorgehen sei.</w:t>
      </w:r>
    </w:p>
    <w:p>
      <w:r>
        <w:rPr>
          <w:b/>
        </w:rPr>
        <w:t>E. 2.3.2</w:t>
      </w:r>
    </w:p>
    <w:p>
      <w:r>
        <w:t>Dagegen wendet die Vorinstanz unter Verweis auf die Stellungnahme der IV-Stelle ein, entgegen der Behauptung der Beschwerdeführerin treffe es nicht zu, dass die damals fallführende Sachbearbeiterin der IV-Stelle eine unrichtige Auskunft zu den Erfolgschancen einer Anfechtung der Verfügung vom 27. Oktober 2017 erteilt habe. Selbst wenn die falsche Auskunft erteilt worden wäre, was bestritten werde, wäre der Beschwerdeführerin das Versäumnis als erhebliches Verschulden vorzuwerfen, da die Verfügung eine korrekte Rechtsmittelbelehrung enthalte, deren Lektüre und Verständnis ihr ohne Weiteres möglich und zumutbar gewesen wäre (BVGer act. 6 samt Beilage).</w:t>
      </w:r>
    </w:p>
    <w:p>
      <w:r>
        <w:rPr>
          <w:b/>
        </w:rPr>
        <w:t>E. 2.4.1</w:t>
      </w:r>
    </w:p>
    <w:p>
      <w:r>
        <w:t>Die Grundrechtsgarantie, von den staatlichen Organen nach Treu und Glauben behandelt zu werden, wird durch Art. 9 der Bundesverfassung der Schweizerischen Eidgenossenschaft vom 18. April 1999 (BV; SR 101) gewährleistet. Der Grundsatz von Treu und Glauben (Art. 9 BV) umfasst den Anspruch auf Schutz berechtigten Vertrauens in Zusicherungen oder sonstiges, bestimmte Erwartungen begründendes Verhalten der Behörden, sofern sich dieses auf eine konkrete, den betreffenden Bürger berührende Angelegenheit bezieht (BGE 130 I 26 E. 8.1 mit Hinweisen, BGE 127 II 49 E. 5a; Urteil des Eidgenössischen Versicherungsgerichts [EVG] H 157/04 vom 14. Dezember 2004 E. 3.3.1 mit Hinweisen).</w:t>
      </w:r>
    </w:p>
    <w:p>
      <w:r>
        <w:rPr>
          <w:b/>
        </w:rPr>
        <w:t>E. 2.4.2</w:t>
      </w:r>
    </w:p>
    <w:p>
      <w:r>
        <w:t>Der Vertrauensgrundsatz verlangt unter anderem, dass falsche behördliche Auskünfte bindend sind, wenn folgende Voraussetzungen kumulativ erfüllt sind: - Die Behörde hat in einer konkreten Situation mit Bezug auf bestimmte Personen gehandelt (1); - sie war für die Erteilung der betreffenden Auskunft zuständig oder der Bürger respektive die Bürgerin durfte die Behörde aus zureichenden Gründen als zuständig betrachten (2); - die Auskunft wurde von der Behörde vorbehaltlos erteilt (3); - der Bürger oder die Bürgerin konnte die Unrichtigkeit der Auskunft nicht ohne Weiteres erkennen (4); - im Vertrauen auf die Richtigkeit der Auskunft werden Dispositionen getroffen, die nicht ohne Nachteil rückgängig gemacht oder nachgeholt werden können (5) und - die gesetzliche Ordnung hat seit der Auskunftserteilung keine Änderung erfahren ([6]; vgl. BGE 131 V 472 E. 5, BGE 127 I 31 E. 3a). 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(BGE 121 V 67 E. 6b mit Hinweisen). Der im öffentlichen Recht aus dem Grundsatz von Treu und Glauben hergeleitete Vertrauensschutz ruft darüber hinaus in jedem Falle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8d/bb mit Hinweisen). Auch wenn die Voraussetzungen für den Schutz des Vertrauens der Privaten in eine unrichtige Auskunft erfüllt sind, bleibt somit abzuwägen, ob das öffentliche Interesse an der richtigen Rechtsanwendung dennoch dem Vertrauensschutz vorzugehen hat (BGE 114 Ia 209 E. 3c; Ulrich Häfelin/Georg Müller/Felix Uhlmann, Allgemeines Verwaltungsrecht, 7. Aufl. 2016, Rz. 668 ff.; Beatrice Weber-Dürler, Vertrauensschutz im Öffentlichen Recht, 1983, S. 79 ff., 128 ff.).</w:t>
      </w:r>
    </w:p>
    <w:p>
      <w:r>
        <w:rPr>
          <w:b/>
        </w:rPr>
        <w:t>E. 2.5.1</w:t>
      </w:r>
    </w:p>
    <w:p>
      <w:r>
        <w:t>Vorliegend stellt sich die Frage, ob der Beschwerdeführerin ein vorwerfbares Verhalten anzulasten ist, wenn sie die Frist zur Erhebung der Beschwerde ungenutzt hat verstreichen lassen.</w:t>
      </w:r>
    </w:p>
    <w:p>
      <w:r>
        <w:rPr>
          <w:b/>
        </w:rPr>
        <w:t>E. 2.5.2</w:t>
      </w:r>
    </w:p>
    <w:p>
      <w:r>
        <w:t>Die von der Beschwerdeführerin geltend gemachte Falschauskunft wird von der Vorinstanz und der IV-Stelle bestritten (BVGer act. 6 samt Beilage). Im konkreten Fall fällt auf, dass die behauptete Auskunft nicht näher substanziiert wird. Es fehlen Angaben zum genauen Zeitpunkt, zur Dauer dieses Telefonates sowie insbesondere substanziierte Details zum Inhalt und exakten Wortlaut des behaupteten Telefongesprächs. Dass die Beschwerdeführerin mit einer Sachbearbeiterin der IV-Stelle telefoniert hat, ist zwar nicht von vornherein ausgeschlossen. Ob das Gespräch allerdings den behaupteten Inhalt aufgewiesen hat, lässt sich mit Blick auf die verstrichene Zeit - namentlich unter Berücksichtigung der vorliegenden Akten - nicht mehr feststellen. Eine vom Gesetz abweichende Behandlung eines Rechtsuchenden als Folge des Vertrauensschutzes kann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(BGE 143 V 341 E. 5.3.1; Urteil des BGer 8F_6/2013 vom 25. Juni 2013 E. 2; Urteile des BVGer A-5832/2016 vom 18. April 2017 E. 3.1.2; C-1147/2014 vom 21. Dezember 2016 E. 6.2). Hinzu kommt, dass rechtsprechungsgemäss selbst mündlich oder telefonisch eingeholte und in einer Aktennotiz festgehaltene Auskünfte nur insoweit eine taugliche Beweisgrundlage bilden, als damit blosse Nebenpunkte oder Hilfstatsachen festgestellt werden (Ulrich Meyer/Marco Reichmuth, Rechtsprechung des Bundesgerichts zum IVG, 3. Aufl. 2014, Art. 28a N. 217, Art. 53 - 57 N 13; Urteil des BGer 8C_67/2010 vom 8. Juni 2010 E. 6.5; Urteile des EVG I 152/02 vom 15. Januar 2003 E. 5 und C 129/00 vom 30. August 2000 E. 3, je mit Hinweisen). Die von der Beschwerdeführerin geltend gemachte Falschauskunft betrifft demgegenüber einen wesentlichen Punkt des Sachverhaltes, so dass einer entsprechenden Aktennotiz auch die notwendige Beweiseignung fehlen würde.</w:t>
      </w:r>
    </w:p>
    <w:p>
      <w:r>
        <w:rPr>
          <w:b/>
        </w:rPr>
        <w:t>E. 2.5.3</w:t>
      </w:r>
    </w:p>
    <w:p>
      <w:r>
        <w:t>Mit Blick auf diese Rechtsprechung kann die Beschwerdeführerin aus der von ihr behaupteten, nicht belegten Falschauskunft nichts zu ihren Gunsten ableiten. Insbesondere ist vorliegend nicht nachgewiesen, dass sie durch eine Falschauskunft der Behörde von der rechtzeitigen Erhebung einer Beschwerde gegen die Verfügung vom 27. Oktober 2017 abgehalten worden wäre.</w:t>
      </w:r>
    </w:p>
    <w:p>
      <w:r>
        <w:rPr>
          <w:b/>
        </w:rPr>
        <w:t>E. 2.5.4</w:t>
      </w:r>
    </w:p>
    <w:p>
      <w:r>
        <w:t>Gelangt das Gericht gestützt auf die freie Beweiswürdigung zum Ergebnis, dass ein behaupteter rechtserheblicher Sachumstand nicht nachgewiesen ist, kommen die Beweislastregeln zur Anwendung (vgl. E. 2.2.2 hievor). Nachdem die Beschwerdeführerin aus der von ihr behaupteten Tatsache des Erhalts einer Falschauskunft Rechte ableiten will, trägt sie die Beweislast. Entsprechend wäre es an ihr (gewesen), den Erhalt und Inhalt der behaupteten Falschauskunft nachzuweisen. Einen solchen Nachweis ist sie indes schuldig geblieben, weshalb in diesem Punkt zu ihren Ungunsten zu entscheiden ist. Entgegen ihrer Argumentation führt das Fehlen einer Aktennotiz über eine behauptete telefonische Besprechung auch nicht zu einer Umkehr der Beweislast.</w:t>
      </w:r>
    </w:p>
    <w:p>
      <w:r>
        <w:rPr>
          <w:b/>
        </w:rPr>
        <w:t>E. 2.5.5</w:t>
      </w:r>
    </w:p>
    <w:p>
      <w:r>
        <w:t>Dass sie als Folge des geltend gemachten Telefongesprächs von der rechtzeitigen Beschwerdeerhebung abgehalten worden sein soll, ist demnach nicht nachgewiesen. Die von der Beschwerdeführerin beantragte Partei- respektive Zeugenbefragung ist - nicht zuletzt mit Blick auf die inzwischen verstrichene Zeit - nicht geeignet, über den Wortlaut des geltend gemachten Telefongesprächs einen rechtsgenüglichen Beweis zu erbringen. In Anbetracht des Zeitablaufs ist zu berücksichtigen, dass das menschliche Erinnerungsvermögen vor allem mit Bezug auf Einzelheiten eines Geschehens relativ rasch verblasst (Urteil des EVG U 26/00 vom 26. Januar 2001 E. 3b). Von den beantragten ergänzenden Beweiserhebungen sind keine wesentlichen neuen Erkenntnisse zu erwarten, so dass in antizipierter Beweiswürdigung (vgl. dazu BGE 136 I 229 E. 5.3 S. 236; 134 I 140 E. 5.3 S. 148; 131 I 153 E. 3 S. 157; Urteile des BGer 9C_847/2017 vom 31. Mai 2018 E. 5.1; 2C_408/2017 vom 12. Februar 2018 E. 3.2) davon abzusehen ist.</w:t>
      </w:r>
    </w:p>
    <w:p>
      <w:r>
        <w:rPr>
          <w:b/>
        </w:rPr>
        <w:t>E. 2.5.6</w:t>
      </w:r>
    </w:p>
    <w:p>
      <w:r>
        <w:t>Aufgrund dieser Sachlage ist nicht mit dem Beweisgrad der überwiegenden Wahrscheinlichkeit erstellt, dass die Beschwerdeführerin durch ein Fehlverhalten respektive eine Falschauskunft der Sachbearbeiterin der IV-Stelle von der rechtzeitigen Beschwerdeerhebung abgehalten worden ist.</w:t>
      </w:r>
    </w:p>
    <w:p>
      <w:r>
        <w:rPr>
          <w:b/>
        </w:rPr>
        <w:t>E. 2.6</w:t>
      </w:r>
    </w:p>
    <w:p>
      <w:r>
        <w:t>Nach dem Gesagten kommt das Bundesverwaltungsgericht zum Schluss, dass der Beschwerdeführerin die Nichteinhaltung der Beschwerdefrist als erhebliches Verschulden anzulasten ist und sie den Eintritt der Säumnisfolgen demnach zu verantworten hat. Das Fristwiederherstellungsgesuch erweist sich somit als unbegründet und ist deshalb abzuweisen. Demnach ist auf die Beschwerde im Verfahren C-537/2019 nicht einzutreten.</w:t>
      </w:r>
    </w:p>
    <w:p>
      <w:r>
        <w:rPr>
          <w:b/>
        </w:rPr>
        <w:t>E. 3</w:t>
      </w:r>
    </w:p>
    <w:p>
      <w:r>
        <w:t>Zusammenfassend ist festzuhalten, dass das Gesuch um Wiederherstellung der Beschwerdefrist - mit Blick auf das nicht als leicht zu bewertende Verschulden der Beschwerdeführerin - als unbegründet abzuweisen und auf die offensichtlich verspätet eingereichte Beschwerde vom 29. Januar 2019 nicht einzutreten ist.</w:t>
      </w:r>
    </w:p>
    <w:p>
      <w:r>
        <w:rPr>
          <w:b/>
        </w:rPr>
        <w:t>E. 4</w:t>
      </w:r>
    </w:p>
    <w:p>
      <w:r>
        <w:t>Zu befinden bleibt über die Verfahrenskosten und eine allfällige Parteientschädigung.</w:t>
      </w:r>
    </w:p>
    <w:p>
      <w:r>
        <w:rPr>
          <w:b/>
        </w:rPr>
        <w:t>E. 4.1</w:t>
      </w:r>
    </w:p>
    <w:p>
      <w:r>
        <w:t>Die Verfahrenskosten können ganz oder teilweise erlassen werden, wenn - wie vorliegend - Gründe in der Sache oder in der Person der Partei es als unverhältnismässig erscheinen lassen, diese der Partei aufzuerlegen (Art. 6 Bst. b des Reglements vom 21. Februar 2008 über die Kosten und Entschädigungen vor dem Bundesverwaltungsgericht [VGKE, SR 173.320.2]; Urteil des BGer 2A.191/2005 vom 2. September 2005 E. 2.2 mit Hinweisen).</w:t>
      </w:r>
    </w:p>
    <w:p>
      <w:r>
        <w:rPr>
          <w:b/>
        </w:rPr>
        <w:t>E. 4.2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