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C-535/2013 vom 9. Juli 2015</w:t>
      </w:r>
    </w:p>
    <w:p>
      <w:r>
        <w:t>Bundesverwaltungsgericht, 2015-07-09, DE</w:t>
      </w:r>
    </w:p>
    <w:p>
      <w:r>
        <w:rPr>
          <w:b/>
        </w:rPr>
        <w:t xml:space="preserve">Quelle: </w:t>
      </w:r>
      <w:r>
        <w:t>https://mcp.opencaselaw.ch/entscheid/bvger_C-535_2013</w:t>
      </w:r>
    </w:p>
    <w:p>
      <w:r>
        <w:t>FR: TAF C-535/2013 du 9 juillet 2015</w:t>
      </w:r>
    </w:p>
    <w:p>
      <w:r>
        <w:t>IT: TAF C-535/2013 del 9 luglio 2015</w:t>
      </w:r>
    </w:p>
    <w:p>
      <w:pPr>
        <w:pStyle w:val="Heading2"/>
      </w:pPr>
      <w:r>
        <w:t>Regeste</w:t>
      </w:r>
    </w:p>
    <w:p>
      <w:r>
        <w:t>Einreiseverbot</w:t>
      </w:r>
    </w:p>
    <w:p>
      <w:pPr>
        <w:pStyle w:val="Heading2"/>
      </w:pPr>
      <w:r>
        <w:t>Erwägungen</w:t>
      </w:r>
    </w:p>
    <w:p>
      <w:r>
        <w:rPr>
          <w:b/>
        </w:rPr>
        <w:t>E. 1.1</w:t>
      </w:r>
    </w:p>
    <w:p>
      <w:r>
        <w:t>Verfügungen des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Erhebung des Rechtsmittels legitimiert (Art. 48 Abs. 1 VwVG). Auf die frist- und formgerecht eingereichte Beschwerde ist - soweit sie nicht gegenstandslos geworden ist (vgl. Art. 58 Abs. 3 VwVG; Bst. K des Sachverhalts)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Der Beschwerdeführer rügt in formeller Hinsicht eine Verletzung des Anspruchs auf rechtliches Gehör (vgl. Art. 29 Abs. 2 BV und Art. 29 ff. VwVG). Die Vorinstanz habe das Einreiseverbot erlassen, ohne sich mit dem Umstand auseinanderzusetzen, dass er in den Niederlanden ein gefestigtes Aufenthaltsrecht habe. Auch gehe aus der Begründung des angefochtenen Entscheids nicht hervor, weshalb ein Einreiseverbot von mehr als fünf Jahren zu verhängen sei.</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w:t>
      </w:r>
    </w:p>
    <w:p>
      <w:r>
        <w:rPr>
          <w:b/>
        </w:rPr>
        <w:t>E. 3.3.1</w:t>
      </w:r>
    </w:p>
    <w:p>
      <w:r>
        <w:t>Die angefochtene Verfügung enthält schon angesichts der Tragweite der angeordneten Massnahme eine kaum genügende Begründung. Diese liess zwar erkennen, dass die Verurteilung durch das Kreisgericht Rheintal vom 14. November 2012, die gegen den Beschwerdeführer wegen Zuwiderhandlungen gegen das Betäubungsmittelgesetz ergangen war, zum Anlass genommen wurde, um eine Fernhaltemassnahme gestützt auf Art. 67 AuG anzuordnen. Weiter wurde festgestellt, dass die im Rahmen des rechtlichen Gehörs vom Beschwerdeführer gemachten Angaben keinen anderen Entscheid zu rechtfertigen vermöchten, ohne allerdings die dabei geäusserten privaten Interessen namentlich zu erwähnen. Immerhin war mit dieser Begründung erkennbar, welche Delinquenz ausschlaggebend für die Verhängung einer Fernhaltemassnahme war. Der Beschwerdeführer war denn auch nicht daran gehindert, ein materiell begründetes Rechtsmittel dagegen zu erheben.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C-4898/2012 vom 1. Mai 2014 E. 3.3 m.H.).</w:t>
      </w:r>
    </w:p>
    <w:p>
      <w:r>
        <w:rPr>
          <w:b/>
        </w:rPr>
        <w:t>E. 3.3.2</w:t>
      </w:r>
    </w:p>
    <w:p>
      <w:r>
        <w:t>Indem die Vorinstanz ein Einreiseverbot von unbestimmter Dauer verhängte, ging sie allerdings davon aus, dass eine im Sinne von Art. 67 Abs. 3 AuG schwerwiegende Gefahr für die öffentliche Sicherheit und Ordnung vorliegt, die ein Einreiseverbot von mehr als fünf Jahren überhaupt zulässt. Wie die Vorinstanz zu dieser Schlussfolgerung gelangte, führte sie in der angefochtenen Verfügung nicht aus. Sie erwähnte nicht einmal die Voraussetzung von Art. 67 Abs. 3 AuG ("schwerwiegende Gefahr für die öffentliche Sicherheit und Ordnung"). Die Anforderungen an die Begründung sind in diesem Zusammenhang schon deshalb hoch und eine exakte Begriffsverwendung ist unerlässlich, weil ein längerfristiges Einreiseverbot schwer wiegt und der Ermessensspielraum der Behörde erheblich ist. Das SEM muss daher im Einzelfall eine Gefährdungsprognose erstellen und diese in nachvollziehbarer Weise begründen; d.h. der Betroffene muss erkennen können, weshalb die Behörde von einer aktuellen und schwerwiegenden Gefahr ausgeht (vgl. Urteil des BVGer C 4898/2012 E. 3.3 m.H.). Soweit die Vorinstanz in der angefochtenen Verfügung von einer qualifizierten Gefährdungslage ausging, ist ihr deshalb eine Verletzung der in Art. 35 Abs. 1 VwVG verankerten Begründungspflicht vorzuhalten.</w:t>
      </w:r>
    </w:p>
    <w:p>
      <w:r>
        <w:rPr>
          <w:b/>
        </w:rPr>
        <w:t>E. 3.4</w:t>
      </w:r>
    </w:p>
    <w:p>
      <w:r>
        <w:t>Eine Verletzung des Anspruchs auf rechtliches Gehör führt ungeachtet der Erfolgsaussichten der Beschwerde in der Sache selbst in der Regel zur Aufhebung der angefochtenen Verfügung. Darauf kann in nicht besonders schwerwiegenden Fällen verzichtet werden, wenn die unterlassene Verfahrenshandlung im Rechtsmittelverfahren nachgeholt wird und das rechtliche Gehör vom Betroffenen nachträglich wahrgenommen werden kann. Dies setzt auch voraus, dass der Rechtsmittelbehörde dieselbe Kognition zukommt wie der Vorinstanz. Des Weiteren darf der von der Verletzung betroffenen Partei durch den Verzicht auf die Kassation kein unzumutbarer Nachteil entstehen. Durch eine solche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w:t>
      </w:r>
    </w:p>
    <w:p>
      <w:r>
        <w:rPr>
          <w:b/>
        </w:rPr>
        <w:t>E. 3.5</w:t>
      </w:r>
    </w:p>
    <w:p>
      <w:r>
        <w:t>Das Bundesverwaltungsgericht verfügt über die gleiche Kognition wie die Vorinstanz und ist zur freien Prüfung aller Sachverhalts- und Rechtsfragen befugt. Es handelt sich sodann nicht um eine besonders schwerwiegende Gehörsverletzung, zumal der Beschwerdeführer das Einreiseverbot in rechtsgenüglicher Weise anfechten konnte. Die Vorinstanz hat die Gründe ihrer Entscheidung anlässlich des Schriftenwechsels (vgl. Vernehmlassung vom 10. April 2013) ergänzt und ausdrücklich dargelegt, weshalb aus ihrer Sicht beim Beschwerdeführer auch zukünftig von einer hohen Gefährdung der öffentlichen Sicherheit und Ordnung auszugehen sei. Zudem legte sie auch dar, weshalb sie trotz des Aufenthaltstitels des Beschwerdeführers in den Niederlanden an der Ausschreibung im SIS festhalte. Dazu wurde dem Beschwerdeführer das Replikrecht gewährt. Es rechtfertigt sich deshalb, sowohl von einer Rückweisung der Angelegenheit als auch von zusätzlichen Sachverhaltsabklärungen abzusehen, abgesehen davon, dass die Vorinstanz im Rahmen eines weiteren Schriftenwechsels bereits teilweise auf ihre Verfügung zurückgekommen ist und das Einreiseverbot befristet hat.</w:t>
      </w:r>
    </w:p>
    <w:p>
      <w:r>
        <w:rPr>
          <w:b/>
        </w:rPr>
        <w:t>E. 4</w:t>
      </w:r>
    </w:p>
    <w:p>
      <w:r>
        <w:t>Wird gegen eine Person, die nicht die Staatsangehörigkeit eines Mitgliedstaates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über die Errichtung,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Übereinkommens vom 19. Juni 1990 zur Durchführung des Übereinkommens von Schengen vom 14. Juni 1985 (Schengener Durchführungsübereinkommen bzw. SDÜ, Abl. L 239/19 vom 22.09.2000; vgl. Urteil des BVGer C-3076/2013 vom 12. März 2015 E. 4 m.H.).</w:t>
      </w:r>
    </w:p>
    <w:p>
      <w:r>
        <w:rPr>
          <w:b/>
        </w:rPr>
        <w:t>E. 5</w:t>
      </w:r>
    </w:p>
    <w:p>
      <w:r>
        <w:t>Der Beschwerdeführer ist mit einer Bulgarin verheiratet. Als Ehegatte einer Staatsangehörigen eines Mitgliedstaates der Europäischen Gemeinschaft (EG) könnte er grundsätzlich in den Anwendungsbereich des Abkommens vom 21. Juni 1999 zwischen der Schweizerischen Eidgenossenschaft einerseits und der Europäischen Gemeinschaft und ihren Mitgliedstaaten andererseits über die Freizügigkeit (SR 0.142.112.681, nachfolgend: Freizügigkeitsabkommen bzw. FZA) fallen, sofern er sich nicht rechtsmissbräuchlich darauf beruft (vgl. BGE 130 II 113 E. 9 und E. 10; Urteil des BGer 2C_273/2011 vom 5. Oktober 2011 E. 3.2; Urteil des BVGer C-6000/2011 vom 14. Mai 2013 E. 3.1 m.H.). Das Ausländergesetz käme dann nur insoweit zur Anwendung, als das Freizügigkeitsabkommen keine abweichende Regelung kennt oder die ordentliche Ausländergesetzgebung ihm eine vorteilhaftere Rechtstellung vermitteln würde (vgl. Art. 2 Abs. 2 AuG). Die Anerkennung eines abgeleiteten Freizügigkeitsrechts bedingt hingegen, dass die originär berechtigte Person von ihrem Freizügigkeitsrecht bereits Gebrauch gemacht hat (vgl. Urteil des BGer 2C_1092/2013 vom 4. Juli 2014 E. 5.2 in fine; Giulia Santangelo, Kein abgeleitetes Recht auf Freizügigkeit ohne Ausübung des Freizügigkeitsrechts durch den originär Berechtigten, in: dRSK, publiziert am 2. Dezember 2014). Die Ehefrau des Beschwerdeführers hat ihren festen Wohnsitz in den Niederlanden. Weder ergibt sich aus den Akten noch wird geltend gemacht, dass diese beabsichtigt, in der Schweiz einen dauernden Aufenthalt zu begründen. Im Übrigen wäre eine diesbezügliche Absicht wohl gar nicht relevant, da der Beschwerdeführer den Nachweis schuldig blieb, dass er überhaupt in den Niederlanden mit seiner Ehefrau (legal) zusammenlebt, bzw. die Aufenthaltsregelung in den Niederlanden fraglich ist (vgl. Bst. L und M des Sachverhalts). Er kann sich in casu somit nicht als Ehegatte einer bulgarischen Staatsangehörigen auf ein (abgeleitetes) Recht aus dem FZA berufen. Die vorliegende Sache beurteilt sich daher ausschliesslich nach dem schweizerischen Ausländerrecht.</w:t>
      </w:r>
    </w:p>
    <w:p>
      <w:r>
        <w:rPr>
          <w:b/>
        </w:rPr>
        <w:t>E. 6.1</w:t>
      </w:r>
    </w:p>
    <w:p>
      <w:r>
        <w:t>Die Vorinstanz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6.2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w:t>
      </w:r>
    </w:p>
    <w:p>
      <w:r>
        <w:rPr>
          <w:b/>
        </w:rPr>
        <w:t>E. 6.3</w:t>
      </w:r>
    </w:p>
    <w:p>
      <w:r>
        <w:t>Die in Art. 67 Abs. 3 AuG statuierte Regelhöchstdauer eines Einreiseverbots beträgt fünf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Weiter befasste sich das BVGer in diesem Entscheid mit der Frage nach der Höchstdauer solcher Einreiseverbote und kam zum Schluss, dass diese grundsätzlich 15 Jahre beträgt; nur im Wiederholungsfall kann die Dauer 20 Jahre betragen.</w:t>
      </w:r>
    </w:p>
    <w:p>
      <w:r>
        <w:rPr>
          <w:b/>
        </w:rPr>
        <w:t>E. 6.4</w:t>
      </w:r>
    </w:p>
    <w:p>
      <w:r>
        <w:t>Am 14. November 2012 verurteilte das Kreisgericht Rheintal den Beschwerdeführer wegen mehrfacher Gehilfenschaft zur qualifizierten Widerhandlung gegen das Betäubungsmittelgesetz (vorsätzliche Hilfeleistung zu mehren Drogengeschäften mit einer Drogenmenge von ca. 3'700 Gramm Kokain) zu einer Freiheitsstrafe von 36 Monaten, wovon 18 Monate bedingt unter Ansetzung einer Probezeit von fünf Jahren. Demzufolge hat er gegen die öffentliche Sicherheit und Ordnung verstossen bzw. polizeiliche Schutzgüter gefährdet und somit einen Fernhaltegrund im Sinne von Art. 67 Abs. 2 Bst. a AuG gesetzt.</w:t>
      </w:r>
    </w:p>
    <w:p>
      <w:r>
        <w:rPr>
          <w:b/>
        </w:rPr>
        <w:t>E. 7.1</w:t>
      </w:r>
    </w:p>
    <w:p>
      <w:r>
        <w:t>Das angefochtene Einreiseverbot gilt für eine Dauer von 15 Jahren. In einem weiteren Schritt ist deshalb zu prüfen, ob die Voraussetzungen gemäss Art. 67 Abs. 3 Satz 2 AuG (schwerwiegende Gefahr für die öffentliche Sicherheit und Ordnung) erfüllt sind, welche die Verhängung eines mehr als fünfjährigen Einreiseverbots zulassen.</w:t>
      </w:r>
    </w:p>
    <w:p>
      <w:r>
        <w:rPr>
          <w:b/>
        </w:rPr>
        <w:t>E. 7.2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zählt namentlich der Terrorismus, der Menschen- und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Potenzial haben, um eine aktuelle schwerwiegende Gefahr zu begründen (vgl. BGE 139 II 121 E. 6.3; BVGE 2013/4 E. 7.2.4; Urteil des BVGer C-5602/2012 vom 16. Januar 2015 E. 6.1 m.H.). Hieraus ergibt sich die prinzipielle Zulässigkeit von Fernhaltemassnahmen, welche die in Art. 67 Abs. 3 Satz 1 AuG genannte Höchstdauer von fünf Jahren überschreiten.</w:t>
      </w:r>
    </w:p>
    <w:p>
      <w:r>
        <w:rPr>
          <w:b/>
        </w:rPr>
        <w:t>E. 7.3</w:t>
      </w:r>
    </w:p>
    <w:p>
      <w:r>
        <w:t>Eine Störung der öffentlichen Sicherheit und Ordnung durch Drogenhandel kann nach dem soeben Gesagten allein schon angesichts der besonderen Hochwertigkeit der involvierten Rechtsgüter als Grundlage für die Annahme einer schwerwiegenden Gefahr im Sinne von Art. 67 Abs. 3 zweiter Satz AuG dienen. Vorauszusetzen ist allerdings auch, dass die Wahrscheinlichkeit ihrer Realisierung hinreichend gross ist. Sie muss signifikant grösser sein als diejenige, die der Annahme einer rechtlich relevanten Gefahr im Sinne von Art. 67 Abs. 2 Bst a AuG zugrunde liegt.</w:t>
      </w:r>
    </w:p>
    <w:p>
      <w:r>
        <w:rPr>
          <w:b/>
        </w:rPr>
        <w:t>E. 7.4</w:t>
      </w:r>
    </w:p>
    <w:p>
      <w:r>
        <w:t>Die Vorinstanz stützt ihre Verfügung hauptsächlich auf den Entscheid des Kreisgerichts Rheintal vom 14. November 2012 (vgl. Bst. D des Sachverhalts und E. 6.4 vorstehend), erwähnte aber auch die einschlägigen Vorstrafen (und spezifizierte diese in der Vernehmlassung vom 10. April 2013), was sich bei der zu stellenden Prognose niederschlagen muss. Zwar wurde er am 14. November 2012 nur wegen Gehilfenschaft zum Drogenhandel verurteilt. Angesichts der Anzahl und des Umfangs der einzelnen Drogengeschäfte sowie der Gesamtmenge des Kokains, das über mehrere Landesgrenzen hinweg gehandelt wurde, liegen hier jedoch Drogengeschäfte vor, wie sie nur von Händlern betrieben werden, die im Gesamtgefüge des Drogenhandels in mindestens der oberen Kategorie nichtsüchtiger Händler oder gar der Kategorie autonomer internationaler Grosshändler angesiedelt werden müssen (vgl. Entscheid des Kreisgerichts Rheintal E. 3b S. 6). Das Gericht ging deshalb von einer Einsatzstrafe von rund sechs Jahren aus und reduzierte diese aufgrund des Tatbeitrages des Beschwerdeführers zunächst lediglich um einen Drittel auf vier Jahre, zumal seine Mitwirkung doch wesentlich dazu beitrug, dass sich die Geschäfte reibungslos abwickeln liessen. Letztendlich wurde die Strafe gemäss Antrag der Staatsanwaltschaft auf 36 Monate festgelegt, weil der Beschwerdeführer ein umfassendes Geständnis ablegte und damit auch irgendwie bekundete, dass er das Unrecht seiner Taten eingesehen hat. Allerdings bezeichnete das Gericht die im abgekürzten Verfahren von der Staatsanwaltschaft beantragte Freiheitsstrafe von 36 Monaten als relativ milde, aber gerade noch angemessen.</w:t>
      </w:r>
    </w:p>
    <w:p>
      <w:r>
        <w:rPr>
          <w:b/>
        </w:rPr>
        <w:t>E. 7.5</w:t>
      </w:r>
    </w:p>
    <w:p>
      <w:r>
        <w:t>Es bedarf keiner weiteren Begründung, dass die Delinquenz des Beschwerdeführers trotz seines Tatbeitrages als Gehilfe einen Bereich betrifft, der wegen der Hochwertigkeit der involvierten Rechtsgüter besonders sensibel ist und in dem daher selbst ein geringes Restrisiko weiterer Störungen nicht in Kauf genommen werden kann. Drogenhandel gehört denn auch zu denjenigen Anlasstaten, die gemäss Art. 121 BV zum Verlust des Aufenthaltsrecht und der Verhängung eines langjährigen Einreiseverbots führen sollen (vgl. etwa BGE 139 I 145 E. 2.5, 31 E. 2.3, 16 E. 2.2 je m.H.). Beim Beschwerdeführer fallen insbesondere seine Vorstrafen negativ ins Gewicht (vgl. Bst. B und D des Sachverhalts). Gerade weil frühere Strafurteile ihn nicht von der Verübung weitere Delikte abhielten, besteht bei ihm eine hohe Rückfallgefahr. Vor diesem Hintergrund kann dem Beschwerdeführer auch nach der letzten strafrechtlichen Verurteilung keine günstige Prognose gestellt werden. Dass der Vollzug der zuletzt verhängten Strafe zur Hälfte aufgeschoben wurde, vermag an der ausländerrechtlichen Beurteilung nichts zu ändern. Die für die Fernhaltemassnahme zuständige Verwaltungsbehörde hat in eigener Kompetenz unter Zugrundelegung spezifischer ausländerrechtlicher Kriterien zu beurteilen, ob eine Polizeigefahr vorliegt oder nicht (vgl. BGE 130 II 493 E. 4.2 sowie Urteil des BVGer C-7110/2010 vom 20. Januar 2012 E. 7.1). Bei einer Fernhaltemassnahme steht denn auch primär das Interesse der öffentlichen Ordnung und Sicherheit im Vordergrund, weshalb in Bezug auf die Prognose betreffend das künftige Wohlverhalten strengere Massstäbe als bei dem auf Resozialisierungschancen abstellenden Strafurteil angelegt werden dürfen (vgl. BGE 125 II 105 E. 2c S. 109 f. m.H.).</w:t>
      </w:r>
    </w:p>
    <w:p>
      <w:r>
        <w:rPr>
          <w:b/>
        </w:rPr>
        <w:t>E. 7.6</w:t>
      </w:r>
    </w:p>
    <w:p>
      <w:r>
        <w:t>Nach dem Gesagten ist demnach eine schwerwiegende Gefahr im Sinne von Art. 67 Abs. 3 zweiter Satz AuG zu bejahen (zum Ganzen siehe auch BGE 139 II 121 E. 6.2 und 6.3 S. 129 ff.).</w:t>
      </w:r>
    </w:p>
    <w:p>
      <w:r>
        <w:rPr>
          <w:b/>
        </w:rPr>
        <w:t>E. 8.1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u.a. Häfelin/Müller/Uhlmann, Allgemeines Verwaltungsrecht, 6. Aufl. 2010, Rz. 613 ff.).</w:t>
      </w:r>
    </w:p>
    <w:p>
      <w:r>
        <w:rPr>
          <w:b/>
        </w:rPr>
        <w:t>E. 8.2</w:t>
      </w:r>
    </w:p>
    <w:p>
      <w:r>
        <w:t>Vom Beschwerdeführer geht wie dargetan nach wie vor eine schwerwiegende Gefahr für die öffentliche Sicherheit und Ordnung aus, weshalb klarerweise ein grosses öffentliches Fernhalteinteresse besteht.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bzw. in den Schengen-Raum nach Ablauf der Dauer des Einreiseverbots keine weiteren Verstösse gegen die öffentliche Ordnung und Sicherheit zu begehen (vgl. Urteil des BVGer C-3213/2013 vom 31. Januar 2014 E. 6.4). Als gewichtig zu betrachten ist auch das generalpräventiv motivierte Interesse, die öffentliche Sicherheit und Ordnung durch eine konsequente Massnahmenpraxis zu schützen (vgl. Urteile des BGer 2C_856/2012 vom 25. März 2013 E. 6.9 sowie 2C_948/2011 vom 11. Juli 2012 E. 3.4.2 je m.H.).</w:t>
      </w:r>
    </w:p>
    <w:p>
      <w:r>
        <w:rPr>
          <w:b/>
        </w:rPr>
        <w:t>E. 8.3</w:t>
      </w:r>
    </w:p>
    <w:p>
      <w:r>
        <w:t>An persönlichen Interessen macht der Beschwerdeführer vor Erlass des Einreiseverbots noch geltend, er habe in der Schweiz Brüder und Verwandte, welche er besuchen wolle. In der Rechtsmitteleingabe ist von Verwandtenbesuchen in der Schweiz keine Rede mehr. Hingegen bringt er nun vor, durch die Ausschreibung der Fernhaltemassnahme im SIS könne er nach einer allfälligen Ausreise aus den Niederlanden (zwecks Besuchs seiner Kinder im Kosovo) nicht mehr ungehindert zurückkehren, wodurch das Führen seiner Ehe erschwert werde.</w:t>
      </w:r>
    </w:p>
    <w:p>
      <w:r>
        <w:rPr>
          <w:b/>
        </w:rPr>
        <w:t>E. 8.4</w:t>
      </w:r>
    </w:p>
    <w:p>
      <w:r>
        <w:t>Dass das gewichtige öffentliche Interesse an einer langdauernden Fernhaltung des Beschwerdeführers den vergleichsweise geringen privaten Interessen, seine Brüder und Verwandte in der Schweiz zu besuchen, vorgeht, versteht sich von selbst. Einerseits handelt es sich dabei nicht um seine nächsten Angehörigen. Andererseits ist es ihm zuzumuten, den Kontakt zu ihnen mittels Telefon und moderner Kommunikationsmittel zu pflegen. Zu prüfen bleibt demnach die Rechtmässigkeit der von der Vorinstanz angeordneten Ausschreibung des Einreiseverbots im SIS, insbesondere unter Berücksichtigung der Wirkung dieser Ausschreibung auf die Rückkehrmöglichkeit in den Schengen-Raum nach einem allfälligen Besuch der Kinder des Beschwerdeführers im Kosovo.</w:t>
      </w:r>
    </w:p>
    <w:p>
      <w:r>
        <w:rPr>
          <w:b/>
        </w:rPr>
        <w:t>E. 8.4.1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SGK, Abl. L 105/1 vom 13. April 2006]). Die Mitgliedstaaten können der betroffenen Person aus wichtigen Gründen oder aufgrund internationaler Verpflichtungen die Einreise in das eigene Hoheitsgebiet gestatten (vgl. Art. 13 Abs. 1 i.V.m. Art. 5 Abs. 4 Bst. c SGK) bzw. ihre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8.4.2</w:t>
      </w:r>
    </w:p>
    <w:p>
      <w:r>
        <w:t>Eine Person, die nicht die Staatsangehörigkeit eines Mitgliedstaates besitzt (Drittstaatsangehörige), kann im SIS zur Einreise- und Aufenthaltsverweigerung ausgeschrieben werden, wenn die "Angemessenheit, Relevanz und Bedeutung des Falles" eine solche Massnahme rechtfertigen (Art. 2 und 21 SIS-II-Verordnung).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Mitfgliedstaat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8.4.3</w:t>
      </w:r>
    </w:p>
    <w:p>
      <w:r>
        <w:t>Der Beschwerdeführer kann als Drittstaatsangehöriger grundsätzlich zur Einreise- bzw. Aufenthaltsverweigerung im SIS ausgeschrieben werden. Die von ihm begangenen Drogendelikte erfüllen zudem den von Art. 24 Ziff. 2 Bst. a SIS-II-Verordnung verlangten Schweregrad (vgl. u.a. Urteil des BVGer C-660/2013 vom 21. April 2015 E. 8.3 m.H.). Falls bzw. solange der Beschwerdeführer noch einen Aufenthaltstitel in den Niederlanden besitzt, ist ihm im Falle einer Rückkehr aus dem Kosovo die Einreise in das Hoheitsgebiet der anderen Mitgliedstaaten zum Zwecke der Durchreise zur Erreichung des Hoheitsgebietes des Mitgliedstaates gestattet, der den Aufenthaltstitel ausgestellt hat (vgl. Art. 5 Abs. 4 Bst. a SGK in der Fassung vom 29. Juni 2013 [vgl. Verordnung EU Nr. 610/2013 vom 26. Juni 2013, Abl. L 182 vom 29. Juni 2013 S. 5]). Das heisst, der Beschwerdeführer kann bei dieser Sachlage nach einem allfälligen Besuch seiner Angehörigen im Kosovo wieder in die Niederlande einreisen, sofern er bei dieser Reise nicht durch die Schweiz oder einen Mitgliedstaat reist, wo er allenfalls auf einer nationalen Ausschreibungsliste mit der Anweisung ausgeschrieben ist, ihm die Einreise oder die Durchreise zu verweigern. Von einer gehinderten Rückkehr und einem damit verbundenen Eingriff in das Führen seiner Ehe kann diesbezüglich nicht gesprochen werden. Die Aufrechterhaltung der Ausschreibung im SIS durch die Vorinstanz bis zum Entscheid der Niederlande über die Aufrechterhaltung bzw. des Entzug des Aufenthaltsrechts des Beschwerdeführers ergibt sich im Übrigen aus Art. 25 Abs. 2 SDÜ. Hinzu kommt, dass der Beschwerdeführer seit dem 4. April 2014 auch von den Niederlanden zur Einreiseverweigerung im SIS ausgeschrieben ist, weshalb die Rücknahme der Ausschreibung durch das SEM für den Beschwerdeführer ohnehin keine unmittelbaren Wirkungen entfalten würde.</w:t>
      </w:r>
    </w:p>
    <w:p>
      <w:r>
        <w:rPr>
          <w:b/>
        </w:rPr>
        <w:t>E. 8.5</w:t>
      </w:r>
    </w:p>
    <w:p>
      <w:r>
        <w:t>Insgesamt kann festgehalten werden, dass nach wie vor ein gewichtiges öffentliches Interesse an einer längerfristigen Fernhaltung des Beschwerdeführers besteht, welche die geltend gemachten privaten Interessen bei weitem überwiegen. Da der Beschwerdeführer bereits einmal für zehn Jahre des Landes verwiesen wurde (vgl. Bst. C des Sachverhalts), handelt es sich bei ihm um einen Wiederholungstäter, wobei er die Ausweisung bzw. die damit verbundene Fernhaltung von der Schweiz nicht befolgte (vgl. Urteil des Bezirksgerichts Zürich vom 2. Februar 2006). Zieht man in Betracht, dass die Höchstdauer des Einreiseverbots im Wiederholungsfall 20 Jahre beträgt (vgl. BVGE 2014/20 E. 7.), so kommt das Bundesverwaltungsgericht in casu aufgrund einer wertenden Gewichtung der sich gegenüberstehenden Interessen zum Schluss, dass die verhängte Massnahme sowohl vom Grundsatz her wie auch in der ausgesprochenen Dauer von 15 Jahren eine verhältnismässige und angemessene Massnahme zum Schutze der öffentlichen Sicherheit und Ordnung darstellt.</w:t>
      </w:r>
    </w:p>
    <w:p>
      <w:r>
        <w:rPr>
          <w:b/>
        </w:rPr>
        <w:t>E. 9</w:t>
      </w:r>
    </w:p>
    <w:p>
      <w:r>
        <w:t>Aus diesen Erwägungen ergibt sich, dass die angefochtene Verfügung im Lichte von Art. 49 VwVG nicht zu beanstanden ist. Dies gilt auch für die Ausschreibung im SIS, solange in dem offenbar immer noch hängigen Verfahren in den Niederlanden betreffend Aufenthalt kein für den Beschwerdeführer positiver Entscheid ergangen ist (vgl. Stellungnahme des Beschwerdeführers vom 8. Dezember 2014 sowie SIRENE-Notiz des Bundesamts für Polizei vom 23. Dezember 2014). Die Beschwerde ist demzufolge - soweit nicht gegenstandslos geworden - abzuweisen.</w:t>
      </w:r>
    </w:p>
    <w:p>
      <w:r>
        <w:rPr>
          <w:b/>
        </w:rPr>
        <w:t>E. 10.1</w:t>
      </w:r>
    </w:p>
    <w:p>
      <w:r>
        <w:t>Bei diesem Verfahrensausgang wären dem Beschwerdeführer grundsätzlich ermässigte Verfahrenskosten aufzuerlegen (Art. 63 Abs. 1 VwVG; Art. 5 des Reglements vom 21. Februar 2008 über die Kosten und Entschädigungen vor dem Bundesverwaltungsgericht [VGKE, SR 173.320.2]). Da ihm aber mit Zwischenverfügung vom 14. März 2013 die unentgeltliche Rechtspflege gewährt wurde, ist er von der Pflicht zur Bezahlung von Verfahrenskosten zu befreien.</w:t>
      </w:r>
    </w:p>
    <w:p>
      <w:r>
        <w:rPr>
          <w:b/>
        </w:rPr>
        <w:t>E. 10.2</w:t>
      </w:r>
    </w:p>
    <w:p>
      <w:r>
        <w:t>Dem Beschwerdeführer ist im Umfang, in dem die Beschwerde zufolge Wiedererwägung gegenstandslos geworden ist, zulasten der Vor­instanz eine gekürzte Parteientschädigung zuzusprechen (vgl. Art. 64 VwVG, Art. 7 ff. VGKE sowie Art. 15 i.V.m. Art. 5 VGKE). Aufgrund des ursprünglich verhängten Einreiseverbots von unbestimmter Dauer und dessen wiedererwägungsweisen Befristung auf 15 Jahre rechtfertigt es sich, ihm eine um drei Viertel gekürzte Parteientschädigung zuzusprechen. Für den darüber hinausgehenden Aufwand ist der als amtlicher Anwalt eingesetzte Rechtsvertreter aus der Gerichtskasse zu entschädigen (vgl. Art. 12 VGKE).</w:t>
      </w:r>
    </w:p>
    <w:p>
      <w:r>
        <w:rPr>
          <w:b/>
        </w:rPr>
        <w:t>E. 10.3</w:t>
      </w:r>
    </w:p>
    <w:p>
      <w:r>
        <w:t>Der Rechtsvertreter hat keine Kostennote eingereicht, so dass Parteientschädigung und amtliches Honorar aufgrund der Akten festzulegen sind (vgl. Art. 14 Abs. 2 VGKE). Unter Berücksichtigung des Umfangs des Verfahrens und der einschlägigen Bemessungsfaktoren (Art. 7 ff. VGKE) ist das Honorar auf Fr. 2'000.- (inkl. Auslagen, exkl. MwSt) festzusetzen. Ein Zuschlag für die Mehrwertsteuer ist nur für Dienstleistungen geschuldet, die im Inland gegen Entgelt gebracht werden, nicht jedoch im vorliegenden Fall, in dem die Dienstleistung für den Beschwerdeführer mit Wohnsitz im Ausland erbracht worden ist (Art. 1 Abs. 2 Bst. a des Bundesgesetzes vom 2. September 1999 über die Mehrwertsteuer [MwStG, SR 641.20] i.V.m. Art. 8 Abs. 1 MwStG und Art. 9 Abs. 1 Bst. c VGKE; Urteil des BVGer C-276/2014 vom 7. Mai 2015 E. 10.3). Davon entfallen Fr. 500.- auf die Parteientschädigung, die zulasten der Vorinstanz geht, und Fr. 1'500.- auf das amtliche Honorar, das zulasten der Gerichtskasse geht. Gelangt der Beschwerdeführer später zu hinreichenden Mitteln, so hat er dem Gericht das amtliche Honorar zu vergüten (vgl. Art. 65 Abs. 4 VwVG).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