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C-5356/2008 vom 20. Januar 2010</w:t>
      </w:r>
    </w:p>
    <w:p>
      <w:r>
        <w:t>Bundesverwaltungsgericht, 2010-01-20, DE</w:t>
      </w:r>
    </w:p>
    <w:p>
      <w:r>
        <w:rPr>
          <w:b/>
        </w:rPr>
        <w:t xml:space="preserve">Quelle: </w:t>
      </w:r>
      <w:r>
        <w:t>https://mcp.opencaselaw.ch/entscheid/bvger_C-5356_2008</w:t>
      </w:r>
    </w:p>
    <w:p>
      <w:r>
        <w:t>FR: TAF C-5356/2008 du 20 janvier 2010</w:t>
      </w:r>
    </w:p>
    <w:p>
      <w:r>
        <w:t>IT: TAF C-5356/2008 del 20 gennaio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Verfahren, die bei Inkrafttreten der Verordnung vom 22. Oktober 2008 über die Einreise und die Visumerteilung (VEV, SR 142.204) am 12. Dezember 2008 (Datum auch des Inkrafttretens des Abkommens vom 26. Oktober 2004 zwischen der Schweizerischen Eidgenossenschaft, der Europäischen Union und der Europäischen Gemeinschaft über die Assoziierung dieses Staates bei der Umsetzung, Anwendung und Entwicklung des Schengen-Besitzstandes [SAA, SR 0.360.268.1]) hängig sind, werden gemäss Art. 57 VEV nach neuem Recht fortgeführt (und damit insbesondere nach dem übergeordneten Schengen-Recht).</w:t>
      </w:r>
    </w:p>
    <w:p>
      <w:r>
        <w:rPr>
          <w:b/>
        </w:rPr>
        <w:t>E. 5.1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AuG, Art. 2 Abs. 1 VEV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5.2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Urteile des Bundesverwaltungsgerichts C-1509/2008 vom 13. Februar 2009 E. 5.2 und E. 5.3 sowie C-3013/2008 vom 14. Februar 2009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6</w:t>
      </w:r>
    </w:p>
    <w:p>
      <w:r>
        <w:t>Gemäss Anhang I zur Verordnung (EG) Nr. 539/2001 des Rates vom 15. März 2001 (ABl. L 81 vom 21.03.2001, S. 1-7) unterliegt die Gesuchstellerin der Visumpflicht.</w:t>
      </w:r>
    </w:p>
    <w:p>
      <w:r>
        <w:rPr>
          <w:b/>
        </w:rPr>
        <w:t>E. 7.1</w:t>
      </w:r>
    </w:p>
    <w:p>
      <w:r>
        <w:t>Vorliegend ist zu überprüfen, ob die Vorinstanz unter Berücksichtigung der Verhältnisse im Herkunftsland und der persönlichen Umstände einen ermessensfreien Entscheid getroffen hat. Dabei rechtfertigt es sich, Einreisegesuchen von Personen aus Staaten mit politisch oder wirtschaftlich vergleichsweise ungünstigen Verhältnissen mit einer gewissen Zurückhaltung zu begegnen, da die persönliche Interessenlage in solchen Fällen häufig nicht mit dem Ziel und Zweck einer zeitlich befristeten Einreisebewilligung in Einklang steht.</w:t>
      </w:r>
    </w:p>
    <w:p>
      <w:r>
        <w:rPr>
          <w:b/>
        </w:rPr>
        <w:t>E. 7.2</w:t>
      </w:r>
    </w:p>
    <w:p>
      <w:r>
        <w:t>Die Gesuchstellerin stammt aus Thailand. Die Wirtschaft dieses Landes ist nach Bewältigung der Asienkrise von 1997 zwar wieder zu neuem Wachstum gelangt. So betrug im Jahr 2007 das Wirtschaftswachstum 4.8%. Im Jahr 2008 wurde dagegen, verursacht insbesondere durch die internationale Finanzkrise, ein Abwärtstrend spürbar. Das Wirtschaftswachstum belief sich nach einem guten Start (+ 6% im ersten Quartal) und starken Einbrüchen im vierten Quartal (- 4.3%) noch auf insgesamt 2.3%. Die grundsätzlich ermutigenden wirtschaftlichen Entwicklungen seit der Asienkrise können aber nicht über die Tatsache hinwegtäuschen, dass nach wie vor breite Bevölkerungsschichten von vergleichsweise schwierigen ökonomischen und sozialen Lebensbedingungen betroffen sind. Das Bruttoinlandprodukt pro Kopf der Bevölkerung betrug im Jahr 2008 nur gerade 4'081 USD, im Jahr 2009 noch 3'845 USD (vgl. zu den wirtschaftlichen Indizes die Länder- und Reiseinformationen auf der Website des Auswärtigen Amtes, Länder- und Reiseinformationen &gt; Thailand &gt; Wirtschaft, &lt;http://www.auswaertiges-amt.de&gt;, Stand: Oktober 2009, besucht im Januar 2010).</w:t>
      </w:r>
    </w:p>
    <w:p>
      <w:r>
        <w:rPr>
          <w:b/>
        </w:rPr>
        <w:t>E. 7.3</w:t>
      </w:r>
    </w:p>
    <w:p>
      <w:r>
        <w:t>In Anbetracht der allgemeinen Situation gewichtete die Vorinstanz somit das Risiko einer nicht fristgerechten Wiederausreise zu Recht als relativ hoch. Solche Umstände entbinden die Vorinstanz jedoch nicht von einer einzelfallbezogenen Beurteilung. Namentlich können berufliche, gesellschaftliche oder familiäre Verpflichtungen die Prognose einer anstandslosen Wiederausreise begünstigen.</w:t>
      </w:r>
    </w:p>
    <w:p>
      <w:r>
        <w:rPr>
          <w:b/>
        </w:rPr>
        <w:t>E. 8.1</w:t>
      </w:r>
    </w:p>
    <w:p>
      <w:r>
        <w:t>Bei der Gesuchstellerin handelt es sich um eine 30-jährige, ledige Frau, die zusammen mit ihrer Mutter ein Kleidergeschäft führt. Als erwachsene Person ohne Ehemann und Kinder obliegen ihr - wie von der Vorinstanz zutreffend festgestellt - keine familiären oder gesellschaftliche Verpflichtungen, die sie nachhaltig von einer möglichen Emigration abhalten könnten. Auch bestehen keine besonderen beruflichen Bindungen, sonst könnte sie nicht ohne weiteres für drei Monate mit der Arbeit im familieneigenen Geschäft aussetzen. Dass sie während ihrer Abwesenheit offenbar problemlos durch eine Aushilfskraft für lediglich Fr. 4.- pro Tag ersetzt werden kann, belegt eindrücklich, dass das Geschäft auch langfristig nicht auf die Mitarbeit der Gesuchstellerin angewiesen ist. Zudem handelt es sich bei ihrer Tätigkeit (Marktfahrerin) nicht um eine qualifizierte Arbeit mit überdurchschnittlichen Verdienstmöglichkeiten. Es liegen denn auch keine Belege vor, die zuverlässige Rückschlüsse auf die wirtschaftlichen Verhältnisse, in denen die Gesuchstellerin lebt, ziehen lassen. Aufgrund der bestehenden Akten kann auf jeden Fall nicht davon ausgegangen werden, sie befinde sich in vorteilhaften und stabilen wirtschaftlichen Verhältnissen, die das Risiko einer nicht fristgerechten Wiederausreise nach einem Besuchsaufenthalt in der Schweiz entscheidend herabsetzen könnten.</w:t>
      </w:r>
    </w:p>
    <w:p>
      <w:r>
        <w:rPr>
          <w:b/>
        </w:rPr>
        <w:t>E. 8.2</w:t>
      </w:r>
    </w:p>
    <w:p>
      <w:r>
        <w:t>An dieser Stelle ist zu betonen, dass keine Zweifel an der Integrität der Beschwerdeführer und deren festen Willen bestehen, ihrerseits die Frist zur Wiederausreise der Gesuchstellerin zu respektieren (vgl. auch die Vernehmlassung der Vorinstanz vom 15. Oktober 2008). Naturgemäss kann jedoch ein Gastgeber nur für gewisse finanzielle Risiken garantieren, mangels rechtlicher und faktischer Durchsetzbarkeit nicht aber für ein bestimmtes Verhalten des Gastes (vgl. Urteile des Bundesverwaltungsgerichts C-1195/2008 vom 13. August 2009 E. 7.4 und C-6923/2007 vom 6. April 2009 E. 10 mit Hinweisen).</w:t>
      </w:r>
    </w:p>
    <w:p>
      <w:r>
        <w:rPr>
          <w:b/>
        </w:rPr>
        <w:t>E. 9</w:t>
      </w:r>
    </w:p>
    <w:p>
      <w:r>
        <w:t>Vor diesem Hintergrund ist nicht zu beanstanden, dass die Vorinstanz das öffentliche Interesse sowie die Beachtung der geltenden Bestimmungen entsprechend gewichtete und der Gesuchstellerin die Einreise verweigerte. Die angefochtene Verfügung verletzt daher Bundesrecht nicht und ist - entgegen den Vorbringen der Beschwerdeführer - auch nicht diskriminierend oder Menschenrecht verletzend. Soweit für das vorliegende Urteil massgebend, wurde der rechtserhebliche Sachverhalt richtig und vollständig festgestellt, und die Vorinstanz hat das ihr zustehende Ermessen pflichtgemäss ausgeübt (vgl. Art. 49 VwVG). Die Beschwerde ist demzufolge abzuweisen.</w:t>
      </w:r>
    </w:p>
    <w:p>
      <w:r>
        <w:rPr>
          <w:b/>
        </w:rPr>
        <w:t>E. 10</w:t>
      </w:r>
    </w:p>
    <w:p>
      <w:r>
        <w:t>Entsprechend dem Ausgang des Verfahrens werden die unterliegenden Beschwerdeführer kostenpflichtig (Art. 63 Abs. 1 VwVG). Die Verfahrenskosten sind auf Fr. 600.- festzusetzen (Art. 1 ff.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