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C-5354/2011 vom 11. Dezember 2013</w:t>
      </w:r>
    </w:p>
    <w:p>
      <w:r>
        <w:t>Bundesverwaltungsgericht, 2013-12-11, DE</w:t>
      </w:r>
    </w:p>
    <w:p>
      <w:r>
        <w:rPr>
          <w:b/>
        </w:rPr>
        <w:t xml:space="preserve">Quelle: </w:t>
      </w:r>
      <w:r>
        <w:t>https://mcp.opencaselaw.ch/entscheid/bvger_C-5354_2011</w:t>
      </w:r>
    </w:p>
    <w:p>
      <w:r>
        <w:t>FR: TAF C-5354/2011 du 11 décembre 2013</w:t>
      </w:r>
    </w:p>
    <w:p>
      <w:r>
        <w:t>IT: TAF C-5354/2011 del 11 dicembre 2013</w:t>
      </w:r>
    </w:p>
    <w:p>
      <w:pPr>
        <w:pStyle w:val="Heading2"/>
      </w:pPr>
      <w:r>
        <w:t>Regeste</w:t>
      </w:r>
    </w:p>
    <w:p>
      <w:r>
        <w:t>Krankenversicherung (Übriges)</w:t>
      </w:r>
    </w:p>
    <w:p>
      <w:pPr>
        <w:pStyle w:val="Heading2"/>
      </w:pPr>
      <w:r>
        <w:t>Erwägungen</w:t>
      </w:r>
    </w:p>
    <w:p>
      <w:r>
        <w:rPr>
          <w:b/>
        </w:rPr>
        <w:t>E. 1</w:t>
      </w:r>
    </w:p>
    <w:p>
      <w:r>
        <w:t>Angefochten sind die Dispositiv-Ziff. VII der Regierungsratsbeschlüsse Nrn. (...) und (...) vom 17. sowie 24. August 2011, wonach Krankenversicherer, die nicht in den in Dispositiv Ziff. I - VI bzw. Dis­positiv Ziff. I genannten Verträgen aufgeführt sind, mit schriftlicher Erklärung gegenüber der tarifesuisse ag dem Vertrag beitreten können, wobei sie eine Beitragsgebühr und einen jährlichen Unkostenbeitrag zu entrichten haben.</w:t>
      </w:r>
    </w:p>
    <w:p>
      <w:r>
        <w:rPr>
          <w:b/>
        </w:rPr>
        <w:t>E. 1.1</w:t>
      </w:r>
    </w:p>
    <w:p>
      <w:r>
        <w:t>Gemäss Art. 53 Abs. 1 KVG in Verbindung mit Art. 90a Abs. 2 KVG beurteilt das Bundesverwaltungsgericht Beschwerden gegen Beschlüsse der Kantonsregierungen nach Art. 46 Abs. 4 KVG. Bei den beiden angefochtenen Regierungsratsbeschlüssen Nrn. (...) und (...) handelt es sich um Beschlüsse im Sinne von Art. 46 Abs. 4 KVG. Das Bundesverwaltungsgericht ist demnach zur Beurteilung der beiden Beschwerden zuständig.</w:t>
      </w:r>
    </w:p>
    <w:p>
      <w:r>
        <w:rPr>
          <w:b/>
        </w:rPr>
        <w:t>E. 1.2</w:t>
      </w:r>
    </w:p>
    <w:p>
      <w:r>
        <w:t>Das Verfahren vor dem Bundesverwaltungsgericht richtet sich gemäss Art. 37 des Verwaltungsgerichtsgesetzes vom 17. Juni 2005 (VGG, SR 173.32) und Art. 53 Abs. 2 Satz 1 KVG grundsätzlich nach dem Bundesgesetz vom 20. Dezember 1968 über das Ver­waltungsverfahren (VwVG, SR 172.021), soweit das VGG oder das Spezialgesetz keine abweichende Regelung enthält. Der seit 1. Januar 2009 in Kraft stehende Art. 53 Abs. 2 KVG sieht - insbesondere mit dem Ziel der Ver­fahrensstraffung - verschiedene Abweichungen von der Verfahrens­ordnung des VwVG vor.</w:t>
      </w:r>
    </w:p>
    <w:p>
      <w:r>
        <w:rPr>
          <w:b/>
        </w:rPr>
        <w:t>E. 1.3</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Beschwerdeführenden haben am vorinstanzlichen Verfahren teilgenommen, sind als Tarifvertrags­parteien im Sinne von Art. 46 Abs. 1 KVG, deren Tarifvertrag vom Regierungsrat um die Anordnung ergänzt worden ist, den nicht in den Verträgen aufgeführten Krankenversicherern den Beitritt zu den Verträgen zu ermöglichen, durch den angefochtenen Beschluss ohne Zweifel besonders berührt. Sie haben ein schutzwürdiges Interesse an deren Aufhebung oder Änderung und sind daher zur Beschwerde legitimiert.</w:t>
      </w:r>
    </w:p>
    <w:p>
      <w:r>
        <w:rPr>
          <w:b/>
        </w:rPr>
        <w:t>E. 1.4</w:t>
      </w:r>
    </w:p>
    <w:p>
      <w:r>
        <w:t>Nachdem der Kostenvorschuss rechtzeitig geleistet wurde, ist auf die frist- und formgerecht eingereichten Beschwerden einzutreten (vgl. Art. 50, Art. 52 Abs. 1 und Art. 63 Abs. 4 VwVG).</w:t>
      </w:r>
    </w:p>
    <w:p>
      <w:r>
        <w:rPr>
          <w:b/>
        </w:rPr>
        <w:t>E. 1.5</w:t>
      </w:r>
    </w:p>
    <w:p>
      <w:r>
        <w:t>Darüber, dass die Beschwerdeführerin Nr. 30 infolge Fusion in der Beschwerdeführerin Nr. 41 aufgegangen ist, wurde bereits mit Verfügung vom 8. Mai 2012 befunden. Die weiteren im Laufe des Beschwerde­verfahrens von den Beschwerdeführenden bekannt gegebenen Ände­rungen in den rechtlichen Strukturen von Krankenversicherern haben keinen Einfluss auf das vorliegende Verfahren.</w:t>
      </w:r>
    </w:p>
    <w:p>
      <w:r>
        <w:rPr>
          <w:b/>
        </w:rPr>
        <w:t>E. 1.6</w:t>
      </w:r>
    </w:p>
    <w:p>
      <w:r>
        <w:t>Die Beteiligten sind als Adressaten der Regierungsratsbeschlüsse Nrn. (...) bzw. (...) durch die angefochtene Anordnung be­troffen, so dass ihnen im vorliegenden Verfahren Parteistellung zukommt (Art. 6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wenn - wie vorliegend - eine kantonale Behörde nicht als Beschwerdeinstanz verfügt hat, die Unangemessenheit (Art. 49 VwVG).</w:t>
      </w:r>
    </w:p>
    <w:p>
      <w:r>
        <w:rPr>
          <w:b/>
        </w:rPr>
        <w:t>E. 2.2</w:t>
      </w:r>
    </w:p>
    <w:p>
      <w:r>
        <w:t>Neue Tatsachen und Beweismittel dürfen nur so weit vorgebracht werden, als erst der angefochtene Beschluss dazu Anlass gibt. Neue Begehren sind unzulässig (Art. 53 Abs. 2 Bst. a KVG).</w:t>
      </w:r>
    </w:p>
    <w:p>
      <w:r>
        <w:rPr>
          <w:b/>
        </w:rPr>
        <w:t>E. 2.3</w:t>
      </w:r>
    </w:p>
    <w:p>
      <w:r>
        <w:t>Das Bundesverwaltungsgericht wendet das Recht von Amtes wegen an (vgl. Urteil des Bundesverwaltungsgerichts [im Folgenden auch: BVGer] A-6743/2009 vom 3. Mai 2010 E. 1.5). Es ist folglich weder an die in der Beschwerde geltend gemachten Argumente (Art. 62 Abs. 4 VwVG) noch an die Erwägungen der Vorinstanz gebunden; es kann eine Be­schwerde aus einem anderen als dem angerufenen Grund gutheissen, und es kann eine Beschwerde mit einer von der Argumentation der Vorinstanz abweichenden Begründung abweisen (vgl. BGE 133 II 249 E. 1.4; BVGE 2007/41 E. 2).</w:t>
      </w:r>
    </w:p>
    <w:p>
      <w:r>
        <w:rPr>
          <w:b/>
        </w:rPr>
        <w:t>E. 2.4.1</w:t>
      </w:r>
    </w:p>
    <w:p>
      <w:r>
        <w:t>Die Beschwerdeinstanz kann andere Beteiligte, welchen im Beschwerdeverfahren nicht Parteistellung zukommt, einbeziehen und von diesen eine Stellungnahme einholen (vgl. Art. 57 Abs. 1 VwVG; Frank Seethaler/Kaspar Plüss, in:, Waldmann/Weissenberger (Hrsg.), Praxis­kommentar VwVG, Zürich 2009, N 16 zu Art. 57; André Moser, in: Auer/Müller/Schindler (Hrsg.), Kommentar zum Bundesgesetz über das Verwaltungsverfahren (VwVG), Zürich 2008, N 6 zu Art. 57; BGE 122 II 382 E. 2c, BGE 124 II 409 E. 2, BGE 135 II 384 E. 1.2.1). Unter die Begriffe "andere Beteiligte" im Sinne von Art. 57 Abs. 1 VwVG und "weitere Beteiligte" im Sinne von Art. 102 Abs. 1 des Bundes­gerichtsgesetzes vom 17. Juni 2005 (BGG, SR 173.110]) fallen insbesondere Behörden, die im erstinstanzlichen Verfahren anzuhören sind, wie auch sonst in ihrer Aufgabenerfüllung betroffene Amtsstellen (vgl. Isabelle Häner, Die Beteiligten im Verwaltungsverfahren und Ver­waltungsprozess, Zürich 2000, Rz. 293).</w:t>
      </w:r>
    </w:p>
    <w:p>
      <w:r>
        <w:rPr>
          <w:b/>
        </w:rPr>
        <w:t>E. 2.4.2</w:t>
      </w:r>
    </w:p>
    <w:p>
      <w:r>
        <w:t>Das BAG ist das für die Krankenversicherung zuständige Bundes­amt. Ihm kommen bei der Durchführung der obligatorischen Kranken­versicherung wesentliche Aufsichtsfunktionen zu (vgl. Art. 21 KVG, Art. 24 ff. KVV). Es rechtfertigt sich, angesichts des engen Zusam­menhanges zwischen den Tarif­fragen und den Kosten der obligatorischen Krankenversicherung, das BAG als für die Durchführung des KVG-Obligatoriums verantwortliche Behörde am Verfahren zu beteiligen (vgl. BVGE 2010/25 E. 2.3.3). Der Einwand der Vorinstanz, das BAG hätte nicht in das vorliegende Verfahren einbezogen werden dürfen, erweist sich damit als unzutreffend.</w:t>
      </w:r>
    </w:p>
    <w:p>
      <w:r>
        <w:rPr>
          <w:b/>
        </w:rPr>
        <w:t>E. 2.5</w:t>
      </w:r>
    </w:p>
    <w:p>
      <w:r>
        <w:t>Ebenso wenig greift die Rüge der Vorinstanz, das BAG mache unaufgefordert Ausführungen zur Frage nach der Zulässigkeit einer Teilgenehmigung von Tarifverträgen, obwohl die Beschwerdeführenden dies nie beanstandet hätten. Das Bundesverwaltungsgericht ist nicht an die in der Beschwerde geltend gemachten Argumente gebunden. Es kann die Beschwerde aus einem anderen als dem angerufenen Grund gut­heissen oder abweisen (vgl. E. 2.3 hiervor).</w:t>
      </w:r>
    </w:p>
    <w:p>
      <w:r>
        <w:rPr>
          <w:b/>
        </w:rPr>
        <w:t>E. 3</w:t>
      </w:r>
    </w:p>
    <w:p>
      <w:r>
        <w:t>Die Vorinstanz stellt in den Erwägungen der angefochtenen Beschlüsse fest, die A._______ ag (Beschwerdeführende Nr. 50) müsse als Verband qualifiziert werden, sodass die von ihr abgeschlossenen, vorliegend zur Diskussion stehenden Tarifverträge Verbandsverträge darstellten. Daraus wiederum leitet die Vorinstanz die Anwendbarkeit von Art. 46 Abs. 2 KVG ab. Diese Bestimmung sieht ein Beitrittsrecht von Nicht-Verbands­mitgliedern, die im Vertragsgebiet tätig und nicht Vertragsparteien sind (im Folgenden: Dritte), zum Vertrag vor. Obwohl nicht explizit in den Dispositiven erwähnt, liegt den an­gefochtenen Beschlüssen die implizite Feststellung der Vorinstanz zu­grunde, die A._______ ag sei ein Verband und die vorliegend interessierenden Verträge seien dementsprechend Verbandsverträge. Vorliegend ist strittig und durch das Bundesverwaltungsgericht zu prüfen, ob die Vorinstanz in den angefochtenen Beschlüssen zu Recht festgestellt hat, dass Verbandsverträge vorliegen, und an­geordnet hat, dass Dritte unter Entrichtung einer Beitrittsgebühr und eines jährlichen Unkostenbeitrags ein Beitrittsrecht zu den Verträgen haben. Im Vorder­grund steht dabei die Frage, ob die Vorinstanz zu dieser Fest­stellung und Anordnung befugt bzw. zuständig war.</w:t>
      </w:r>
    </w:p>
    <w:p>
      <w:r>
        <w:rPr>
          <w:b/>
        </w:rPr>
        <w:t>E. 3.1</w:t>
      </w:r>
    </w:p>
    <w:p>
      <w:r>
        <w:t>Parteien eines Tarifvertrags sind einzelne oder mehrere Leis­tungs­erbringer oder deren Verbände einerseits sowie einzelne oder mehrere Versicherer oder deren Verbände anderseits (Art. 46 Abs. 1 KVG). Ist ein Verband Vertragspartei, so ist der Tarifvertrag für die Mitglieder des Verbandes nur verbindlich, wenn sie dem Vertrag beigetreten sind. Auch Nichtmitglieder, die im Vertragsgebiet tätig sind, können dem Vertrag beitreten. Der Vertrag kann vorsehen, dass diese einen angemessenen Beitrag an die Unkosten des Vertragsabschlusses und der Durchführung leisten müssen. Er regelt die Art und Weise der Beitritts- sowie der Rücktrittserklärung und ihre Bekanntgabe (Art. 46 Abs. 2 KVG).</w:t>
      </w:r>
    </w:p>
    <w:p>
      <w:r>
        <w:rPr>
          <w:b/>
        </w:rPr>
        <w:t>E. 3.2</w:t>
      </w:r>
    </w:p>
    <w:p>
      <w:r>
        <w:t>Ein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4</w:t>
      </w:r>
    </w:p>
    <w:p>
      <w:r>
        <w:t>Im Folgenden ist zu prüfen, ob die Vorinstanz zu Recht in ihren Ge­neh­migungsbeschlüssen die angefochtenen Feststellungen und Anord­nun­gen getroffen hat.</w:t>
      </w:r>
    </w:p>
    <w:p>
      <w:r>
        <w:rPr>
          <w:b/>
        </w:rPr>
        <w:t>E. 4.1.1</w:t>
      </w:r>
    </w:p>
    <w:p>
      <w:r>
        <w:t>Grundsätzlich gilt, dass die Parteien im Rahmen des Tarifver­tragsrechts den Inhalt ihrer Vereinbarungen frei bestimmen können, unter Vorbehalt der zwingenden Normen des KVG und seiner Nebenerlasse (vgl. den Entscheid des Bundesrats vom 6. November 2002, RKUV 1/2004 2). Insbesondere dürfen die Verträge nicht die den Versicherten gesetzlich zustehenden Rechte beeinträchtigen (vgl. BGE 110 V 187 E. 3.a). Der Grundsatz der Vertragsfreiheit gilt mit anderen Worten bei Tarifverträgen gemäss KVG innerhalb der Schranken des Gesetzes (Art. 19 und 20 Abs. 1 des Bundesgesetzes betreffend die Ergänzung des Schweizerischen Zivilgesetzbuches (Fünfter Teil: Obligationenrecht [OR, SR 220]). Die Schranken, welche das KVG den Vertragsparteien setzt, bestehen unter anderem darin, dass in den Verträgen auf eine be­triebswirtschaftliche Bemessung, eine sachgerechte Struktur der Tarife sowie eine qualitativ hochstehende und zweckmässige gesundheitliche Versorgung zu mög­lichst günstigen Kosten zu achten ist (Art. 43 Abs. 4 und 6 KVG) und die in Art. 46 Abs. 3 KVG aufgezählten, wettbewerbs­beschränkenden Mass­nahmen nicht zulässig sind. Dementsprechend prüft die Ge­neh­migungsbehörde, ob der Tarifvertrag mit dem Gesetz und dem Gebot der Wirtschaftlichkeit und Billigkeit im Einklang steht (Art. 46 Abs. 4 KGV). Diesen Bestimmungen ist gemeinsam, dass sie die Vertragsfreiheit der Parteien nicht aufheben, sondern ihr Grenzen setzen. Weiter enthält das KVG Bestimmungen, welche gewisse Bereiche der Vergütung medi­zinischer Leistungen abschliessend regeln, so dass für Tarifverein­barungen zwischen Leistungserbringern und Versicherern kein Raum mehr bleibt, mithin diese Bereiche der Vertragsfreiheit entzogen sind (vgl. etwa den Entscheid des Bundesrats vom 13. März 2000, RKUV 5/2001 353 ff. E. 4).</w:t>
      </w:r>
    </w:p>
    <w:p>
      <w:r>
        <w:rPr>
          <w:b/>
        </w:rPr>
        <w:t>E. 4.1.2</w:t>
      </w:r>
    </w:p>
    <w:p>
      <w:r>
        <w:t>Im Rahmen dieser Vertragsfreiheit haben die Parteien alsdann zu berücksichtigen, was zwingend in einem Tarifvertrag geregelt werden muss. Zwingende Inhalte von Tarifverträgen (essentialia negotii) sind im Wesentlichen die Nennung der tarifierten Leistungen, die vereinbarte Taxe und im Falle eines komplexen mehrteiligen Einzelleistungs­vertrags nach dem Modell des TarMed die Tarifstruktur - also die Parameter für die Tariffestsetzung. Darüber hinaus kann der Vertrag die notwendigen Durchführungs­bestimmungen sowie alle gegenseitigen Rechtsbeziehungen regeln, die für die Vertragsanwendung notwendig sind bzw. die anderweitigen Beziehungen zwischen den Leistungserbringern und den Versicherern (vgl. BGE 110 V 187 E. 3.a; Gebhard Eugster, in: Ulrich Meyer [Hrsg.], Schweizerisches Bundesverwaltungsrecht, Band XIV, Soziale Sicherheit, 2. Aufl., Basel 2007, N 930 zu Kapitel E. [zit. Eugster, Bundesverwal­tungsrecht]; Gebhard Eugster, in: Erwin Murer/Hans-Ulrich Stauffer [Hrsg.], Rechtsprechung des Bundesgerichts zum Sozial­ver­sicherungs­recht, Bundesgesetz über die Krankenversicherung (KVG), Zürich 2010, N 4 zu Art. 46 KVG [zit. Eugster, Rechtsprechung]). Bei diesen Vertrags­bestandteilen handelt sich um Regelungen, welche die Umsetzung des konkreten Vertragsinhaltes zum Gegenstand haben. Lehre und Recht­sprechung sprechen in dieser Beziehung von Kann-Vorschriften, die nicht zwingender Inhalt von Tarifverträgen sind.</w:t>
      </w:r>
    </w:p>
    <w:p>
      <w:r>
        <w:rPr>
          <w:b/>
        </w:rPr>
        <w:t>E. 4.2</w:t>
      </w:r>
    </w:p>
    <w:p>
      <w:r>
        <w:t>Die Vorinstanz könnte allenfalls die Vertragsparteien dann dazu ver­pflichten, das Beitrittsrecht Dritter in den Tarifvertrag aufzunehmen, wenn entweder dessen Nichtaufnahme einen Verstoss gegen die zwingenden Normen des KVG und seiner Nebenerlasse darstellte (vgl. E. 4.1.1 hiervor) oder wenn die Regelung des Beitrittsrechts zwingender Inhalt eines (Verbands-) Tarifvertrags wäre (vgl. E. 4.1.2 hiervor).</w:t>
      </w:r>
    </w:p>
    <w:p>
      <w:r>
        <w:rPr>
          <w:b/>
        </w:rPr>
        <w:t>E. 4.2.1</w:t>
      </w:r>
    </w:p>
    <w:p>
      <w:r>
        <w:t>Es sind keine zwingenden gesetzlichen Normen ersichtlich, welche durch die Nichtaufnahme einer Regelung des Beitrittsrechts und der Beitrittsmodalitäten verletzt werden könnten. Es findet sich ein Verstoss weder gegen die Tarifgrundsätze nach Art. 43 KVG noch gegen die Vorschriften über die Tarifverträge (Art. 46 ff. KVG). Die Verpflichtung, auch Nichtmitgliedern den Beitritt zu Verbandsverträgen zu ermöglichen, ergibt sich unmittelbar aus dem Gesetz (Art. 46 Abs. 2, 2. Satz KVG) und bedarf keiner zusätzlichen vertraglichen Grundlage, so dass in der Nichtaufnahme einer diesbezüglichen Regelung keine Verletzung ge­setzlicher Normen zu erblicken ist.</w:t>
      </w:r>
    </w:p>
    <w:p>
      <w:r>
        <w:rPr>
          <w:b/>
        </w:rPr>
        <w:t>E. 4.2.2</w:t>
      </w:r>
    </w:p>
    <w:p>
      <w:r>
        <w:t>Das Beitrittsrecht gehört nicht zum notwendigen Mindestinhalt eines Tarifvertrags, über den sich die Vertragsparteien einig sein müssen, damit er zustande kommen kann (vgl. E. 4.1.2 hiervor). Vielmehr ist es Folge des Zustandekommens eines Verbandsvertrages, dass das Beitrittsrecht aufgrund der gesetzlichen Regelung entsteht und die Modalitäten sowie eine allfällige Kostenbeteiligung geregelt werden müssen. Ob diese im Tarifvertrag selbst oder in einem Reglement des Verbandes festgelegt werden, steht den Tarifvertragsparteien frei. So verlangt Art. 46 Abs. 2 KVG keine tarifvertragliche Regelungen der Beitrittsmodalitäten und erlaubt bloss, dass der Tarifvertrag vorsehen kann, dass beitretende Dritte ein Beitrag an die Unkosten des Verbandes leisten müssen (vgl. E. 4.1.2 hiervor).</w:t>
      </w:r>
    </w:p>
    <w:p>
      <w:r>
        <w:rPr>
          <w:b/>
        </w:rPr>
        <w:t>E. 4.2.3</w:t>
      </w:r>
    </w:p>
    <w:p>
      <w:r>
        <w:t>Eine vertragliche Regelung des Beitrittsrecht zu Verbandsverträgen nach Art. 46 Abs. 2, 2. Satz KVG sowie der Beitritts­modalitäten ist damit nicht zwingend vorgeschrieben. Den Vertragsparteien steht es frei, das Beitrittsrecht und dessen Modalitäten im Tarifvertrag zu regeln oder nicht - in dieser Beziehung belässt das KVG den Parteien Inhalts- und damit Vertragsfreiheit. Es kann unter diesen Umständen offen bleiben, ob es sich bei den fraglichen Tarifverträgen um Verbandsverträge im Sinne von Art. 46 Abs. 2 KVG handelt: Selbst dann, wenn dies der Fall sein sollte, könnte die Vorinstanz die Vertragsparteien nicht verpflichten, das Bei­trittsrecht von Dritten in den Tarifvertrag aufzunehmen bzw. dort zu regeln. Das Vorgehen der Vorinstanz stellt folglich einen unzulässigen Eingriff in die Vertragsautonomie der Parteien dar. Die angefochtenen Ziff. VII der Regierungs­rats­beschlüsse Nrn. (...) und (...) er­weisen sich damit als rechtswidrig und die Beschwerden sind allein schon aus diesem Grunde gutzuheissen.</w:t>
      </w:r>
    </w:p>
    <w:p>
      <w:r>
        <w:rPr>
          <w:b/>
        </w:rPr>
        <w:t>E. 4.3</w:t>
      </w:r>
    </w:p>
    <w:p>
      <w:r>
        <w:t>Tarifverträge bedürfen der Genehmigung durch die zuständige Kantons­regierung oder, wenn sie in der ganzen Schweiz gelten sollen, durch den Bundesrat (Art. 46 Abs. 4 KVG).</w:t>
      </w:r>
    </w:p>
    <w:p>
      <w:r>
        <w:rPr>
          <w:b/>
        </w:rPr>
        <w:t>E. 4.3.1</w:t>
      </w:r>
    </w:p>
    <w:p>
      <w:r>
        <w:t>Der Genehmigungspflicht und damit -prüfung unterliegen nur die (gesetzlich vorgesehenen) Parameter für die Tariffestsetzung und somit nur der zwingende Vertragsinhalt. Diesen überprüft die Genehmigungs­behörde auf dessen Gesetzmässigkeit, Wirtschaft­lichkeit und Billigkeit hin (Art. 46 Abs. 4, 2. Satz KVG). Nicht genehmigungsfähig sind etwa Ver­träge, welche nicht die gesamte Pflichtleistung abdeckende Tarife, wett­bewerbshemmende Klauseln, unsachgemässe Tarifstrukturen miss­achten oder gegen Grundsätze des KVG verstossende vertragliche Durch­führungsregeln enthalten oder welche betriebswirtschaftliche Kriterien missachten, die ausreichende und qualitativ hochstehende Versorgung gefährden, die Kantonsquote fehlerhaft festsetzen oder die Versicherte­n­interessen missachten (vgl. zum Ganzen Eugster, Bundes­verwaltungs­recht, N 931 zu Kapitel E.). Da das Beitrittsrecht Dritter zu Verbands­verträgen nicht zum zwingenden Vertragsinhalt zu zählen ist (Art. 46 Abs. 2 KVG; vgl. E. 4.2 ff. hiervor), hat dessen Nichtregelung keinen Einfluss auf die Genehmigungsfähigkeit eines Tarifvertrags und ist im Rahmen des Genehmigungsverfahrens nicht zu prüfen. Die Prüfung der Billigkeit eines Tarifvertrages soll die Interessen der Versicherten wahren und verhindern, dass allenfalls von einer Partei unter dem Druck der anderen ungerechtfertigte Zugeständnisse gemacht werden. Ein Tarifvertrag darf auch nicht einzelne Leistungserbringer ohne sachlichen Grund bevorzugen oder benachteiligen, bloss auf Sonder­interessen von Einzelnen abstellen oder die Rechte der Versicherten beeinträchtigen. Im Rahmen der Billigkeit wird sodann die wirtschaftliche Tragbarkeit eines Tarifs geprüft (vgl. Eugster, Rechtsprechung, N 13 zu Art. 46 KVG). Auch unter dem Blickwinkel der Billigkeit kann einem Vertrag somit nicht deshalb die Genehmigung nach Art. 46 Abs. 4 KVG verweigert werden, weil er das Beitrittsrecht Dritter nicht regelt. Zudem verstösst ein Tarifvertrag offensichtlich auch nicht gegen das Gebot der Wirtschaftlichkeit, wenn er keine Regeln zum Beitrittsrecht Dritter enthält.</w:t>
      </w:r>
    </w:p>
    <w:p>
      <w:r>
        <w:rPr>
          <w:b/>
        </w:rPr>
        <w:t>E. 4.3.2</w:t>
      </w:r>
    </w:p>
    <w:p>
      <w:r>
        <w:t>Die implizite Feststellung, dass es sich bei den fraglichen Tarif­verträgen um Verbandsverträge handelt, und die Regelung von Beitritts­modalitäten liegen damit ausserhalb der im Rahmen des Genehmigungs­verfahrens zulässigen Anordnungen. Die Vorinstanz hat mit diesen An­ordnungen ihre sachliche Zuständigkeit überschritten. Die Fragen, ob ein Tarifvertrag als Verbandsvertrag zu qualifizieren ist und unter welchen Bedingungen allenfalls ein Beitritt Dritter erfolgen kann, sind (erst) im Zusammenhang mit einer Streitigkeit über den Beitritt zu Verträgen nach Art. 46 Abs. 2 KVG durch die hierfür zuständige Behörde zu beantworten. Offen bleiben kann bei diesem Ergebnis, ob die in den Ziff. VII der an­gefochtenen Regierungs­rats­beschlüsse getroffenen Anordnungen einer unzulässigen Teilgenehmigung der Tarifverträge gleichkommt, wie dies das BAG moniert (vgl. zur teilweisen Vertragsgenehmigung etwa das Urteil des BVGer C-536/2009 vom 17. Dezember 2009, E. 5.1, 5.1.4).</w:t>
      </w:r>
    </w:p>
    <w:p>
      <w:r>
        <w:rPr>
          <w:b/>
        </w:rPr>
        <w:t>E. 4.4</w:t>
      </w:r>
    </w:p>
    <w:p>
      <w:r>
        <w:t>Wie bereits festgehalten wurde, haben Dritte von Gesetzes wegen ein Beitrittsrecht zu einem Verbandsvertrag (Art. 46 Abs. 2, 2. Satz KVG; vgl. E. 4.1 und 4.2 hiervor). Dritte können gestützt auf Art. 46 Abs. 2 KVG den Beitritt zu einem Verbandsvertrag auch dann erklären, wenn die Vertragsparteien das entsprechende Recht nicht im Tarifvertrag vorgesehen haben. Die vertragliche Einräumung des Beitrittsrechts hätte rein deklaratorischen Charakter und stellte eine Wiederholung des gesetzlich normierten An­spruchs dar. Die Frage, ob die Vertragsparteien verpflichtet sind, Dritten den Beitritt zum Tarifvertrag zu gewähren, stellt sich erst bei Vorliegen einer konkreten Beitrittserklärung. Dannzumal wird die zu­ständige Be­hörde entscheiden, ob ein Beitrittsrecht besteht und vorfrage­weise klären müssen, ob die Beschwerdeführende Nr. 50 ein Verband bzw. ob der Tarifvertrag ein Verbandsvertrag im Sinne von Art. 46 Abs. 2 KVG ist. Die Vorfrage nach der Verbandseigenschaft und die Frage nach dem An­spruch auf Vertragsbeitritt bereits im Genehmi­gungsverfahren und somit rein vorsorglich zu klären, ist auch mangels eines aktuellen Interesses unzu­lässig. An den angefochtenen An­ordnungen und Feststellungen der Vorinstanz besteht somit kein aktuelles Regelungs- bzw. Feststellungs­interesse, so dass sich die Ziff. VII der angefochtenen Regierungs­rats­beschlüsse auch aus diesem Grunde als rechtswidrig erweisen.</w:t>
      </w:r>
    </w:p>
    <w:p>
      <w:r>
        <w:rPr>
          <w:b/>
        </w:rPr>
        <w:t>E. 4.5</w:t>
      </w:r>
    </w:p>
    <w:p>
      <w:r>
        <w:t>Zusammenfassend ist festzuhalten, dass sich die Ziff. VII der Regierungsratsbeschlüsse Nrn. (...) und (...) aus mehreren Gründen als rechtswidrig erweisen. Es handelt sich dabei um einen Akt einer dafür nicht zuständigen Behörde, welche ohne Vorliegen eines aktuellen Interesses und in Überschreitung ihrer Genehmigungs­kompetenz eine Anordnung trifft, die in unzulässiger Weise die Privat­autonomie der Parteien schmälert. Die Beschwerden vom 26. und 29. September 2011 erweisen sich in dieser Hinsicht als begründet und sind gutzuheissen. Die Ziff. VII der beiden angefochtenen Regierungs­ratsbeschlüsse Nrn. (...) und (...) vom 17. und 24. August 2011 sind in Gutheissung der Beschwerden aufzuheben. Bei diesem Ausgang des Verfahrens erübrigt es sich, auf die weiteren Rügen der Beschwerdeführenden einzugehen.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Der unter­liegenden Vorinstanz können allerdings keine Verfahrenskosten auf­erlegt werden (Art. 63 Abs. 2 VwVG). Den obsiegenden Beschwerdefüh­renden ist der in den beiden Verfahren C-5354/2011 und C-5432/2011 geleistete Kostenvorschuss von je Fr. 4'000.- zurückzu­erstatten. Diese sind aufzufordern, dem Bundes­verwaltungsgericht eine Zahlstelle be­kannt zu geben.</w:t>
      </w:r>
    </w:p>
    <w:p>
      <w:r>
        <w:rPr>
          <w:b/>
        </w:rPr>
        <w:t>E. 5.2</w:t>
      </w:r>
    </w:p>
    <w:p>
      <w:r>
        <w:t>Gemäss Art. 64 Abs. 1 VwVG kann die Beschwerdeinstanz der ganz oder teilweise obsiegenden Partei von Amtes wegen oder auf Begehren eine Entschädigung für ihr erwachsene notwendige und verhältnismässig hohe Kosten zusprechen. Die obsiegenden Beschwerdeführenden waren im vorliegenden Ver­fahren nicht anwaltlich vertreten. Der für die A._______ ag handelnde Rechtsanwalt ist für diese als Leiter der Abteilung Services und in ihrem Rechtsdienst tätig (vgl. https://www.santesuisse.ch/de/dyn_output.html? content.void=48684&amp;navid=2400; zuletzt besucht am 4. Dezember 2013). Da den Beschwerdeführenden zudem keine unverhältnismässig hohen Kosten entstanden sind, ist ihnen keine Parteientschädigung zuzu­sprechen (Art. 64 Abs. 1 VwVG und Art. 9 Abs. 2 des Reglements vom 21. Februar 2008 über die Kosten und Ent­schä­digungen vor dem Bundesverwaltungsgericht [VGKE, SR 173. 320.2]). Die Beteiligten 1 und 2, denen im Verfahren Parteistellung zugekommen ist und welche die Gutheissung der Beschwerden beantragt haben, waren - wie die übrigen Beteiligten - nicht anwaltlich vertreten. Auch den Beteiligten, denen keine unverhältnismässig hohe Kosten entstanden sind, ist daher keine Parteientschädigung zuzusprechen (Art. 64 Abs. 1 VwVG). Keinen Anspruch auf eine Parteientschädigung hat die unterliegende Vorinstanz (Art. 7 Abs. 1 e contrario und 3 VGKE).</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 und tritt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