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C-5353/2023 vom 24. Januar 2025</w:t>
      </w:r>
    </w:p>
    <w:p>
      <w:r>
        <w:t>Bundesverwaltungsgericht, 2025-01-24, IT</w:t>
      </w:r>
    </w:p>
    <w:p>
      <w:r>
        <w:rPr>
          <w:b/>
        </w:rPr>
        <w:t xml:space="preserve">Quelle: </w:t>
      </w:r>
      <w:r>
        <w:t>https://mcp.opencaselaw.ch/entscheid/bvger_C-5353_2023</w:t>
      </w:r>
    </w:p>
    <w:p>
      <w:r>
        <w:t>FR: TAF C-5353/2023 du 24 janvier 2025</w:t>
      </w:r>
    </w:p>
    <w:p>
      <w:r>
        <w:t>IT: TAF C-5353/2023 del 24 gennaio 2025</w:t>
      </w:r>
    </w:p>
    <w:p>
      <w:pPr>
        <w:pStyle w:val="Heading2"/>
      </w:pPr>
      <w:r>
        <w:t>Regeste</w:t>
      </w:r>
    </w:p>
    <w:p>
      <w:r>
        <w:t>Diritto alla rendita</w:t>
      </w:r>
    </w:p>
    <w:p>
      <w:pPr>
        <w:pStyle w:val="Heading2"/>
      </w:pPr>
      <w:r>
        <w:t>Erwägungen</w:t>
      </w:r>
    </w:p>
    <w:p>
      <w:r>
        <w:rPr>
          <w:b/>
        </w:rPr>
        <w:t>E. 1.1</w:t>
      </w:r>
    </w:p>
    <w:p>
      <w:r>
        <w:t>Il Tribunale amministrativo federale (TAF) è competente a trattare il pre- sente ricorso (art. 31, 32 e 33 lett. d LTAF [RS 173.32]; art. 69 cpv. 1 lett. b LAI [RS 831.20]). Il ricorrente è toccato dalla decisione impugnata ed ha un interesse degno di protezione al suo annullamento o alla sua modifica.</w:t>
      </w:r>
    </w:p>
    <w:p>
      <w:r>
        <w:t>C-5353/2023 Pagina 6 Per conseguenza, l’insorgente è legittimato a ricorrere nel caso in esame (art. 59 LPGA [RS 830.1]; art. 48 cpv. 1 PA [RS 172.021]). Il ricorso è stato interposto tempestivamente e rispetta i requisiti previsti dalla legge (art. 60 LPGA; art. 50 cpv. 1 e art. 52 cpv. 1 PA). Pertanto, il ricorso è ammissibile.</w:t>
      </w:r>
    </w:p>
    <w:p>
      <w:r>
        <w:rPr>
          <w:b/>
        </w:rPr>
        <w:t>E. 1.2</w:t>
      </w:r>
    </w:p>
    <w:p>
      <w:r>
        <w:t>La procedura dinanzi al TAF è retta dalla PA, in quanto la LTAF non disponga altrimenti (art. 37 LTAF). In virtù dell'art. 3 lett. dbis PA, la proce- dura in materia di assicurazioni sociali non è disciplinata dalla PA nella mi- sura in cui è applicabile la LPGA (RS 830.1). Salvo disposizioni transitorie contrarie, le nuove norme procedurali si applicano immediatamente e in piena misura con la loro entrata in vigore (DTF 129 V 113 consid. 2.2; 130 V 1 consid. 2.2).</w:t>
      </w:r>
    </w:p>
    <w:p>
      <w:r>
        <w:rPr>
          <w:b/>
        </w:rPr>
        <w:t>E. 2.1</w:t>
      </w:r>
    </w:p>
    <w:p>
      <w:r>
        <w:t>L’oggetto impugnato e quindi presupposto e contenuto della contesta- zione sottoposta all’esame di questo Tribunale (DTF 131 V 164 consid. 2.1) è rappresentato dalla decisione dell’UAIE del 31 agosto 2023 mediante la quale sono state riconosciute al ricorrente due rendite limitate nel tempo e sono stati ritenuti inapplicabili eventuali provvedimenti professionali.</w:t>
      </w:r>
    </w:p>
    <w:p>
      <w:r>
        <w:rPr>
          <w:b/>
        </w:rPr>
        <w:t>E. 2.2</w:t>
      </w:r>
    </w:p>
    <w:p>
      <w:r>
        <w:t>Oggetto del contendere è per contro unicamente il diritto a tre quarti di rendita AI dopo il 31 dicembre 2020, negato dall’autorità inferiore in ragione del miglioramento dello stato di salute riscontrato a partire dal 1° settembre 2020 (consid. B.e), che ha determinato un grado d’invalidità non più pen- sionabile, pari all’8.6%. Il rifiuto di provvedimenti professionali, in ragione dell’iscrizione dell’interessato a partire dal 1° gennaio 2022 alla disoccupa- zione italiana, non è infatti contestato.</w:t>
      </w:r>
    </w:p>
    <w:p>
      <w:r>
        <w:rPr>
          <w:b/>
        </w:rPr>
        <w:t>E. 3.1</w:t>
      </w:r>
    </w:p>
    <w:p>
      <w:r>
        <w:t>Nell’ambito del ricorso in esame, l’insorgente può far valere la viola- zione del diritto federale, compreso l’eccesso o l'abuso del potere di ap- 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w:t>
      </w:r>
    </w:p>
    <w:p>
      <w:r>
        <w:t>C-5353/2023 Pagina 7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3.3</w:t>
      </w:r>
    </w:p>
    <w:p>
      <w:r>
        <w:t>Il potere cognitivo di questo Tribunale è delimitato dalla data della de- cisione impugnata, in concreto il 31 agosto 2023. Il giudice delle assicura- zioni sociali esamina infatti la decisione impugnata sulla base della situa- zione di fatto esistente al momento in cui essa è stata resa (DTF 132 V 215 consid. 3.1.1; 130 V 445 consid. 1.2). Tiene tuttavia conto dei fatti verifica- tisi dopo tale data quando essi possano imporsi quali elementi d'accerta- 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 sid. 5.5 nonché 9C_116/2010 del 20 aprile 2010 consid. 3.2.2; DTF 118 V 200 consid. 3a in fine).</w:t>
      </w:r>
    </w:p>
    <w:p>
      <w:r>
        <w:rPr>
          <w:b/>
        </w:rPr>
        <w:t>E. 4.1</w:t>
      </w:r>
    </w:p>
    <w:p>
      <w:r>
        <w:t>Il ricorrente è cittadino di uno Stato membro della Comunità europea, è domiciliato in Italia e sussiste un nesso transfrontaliero, avendo egli la- vorato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w:t>
      </w:r>
    </w:p>
    <w:p>
      <w:r>
        <w:t>C-5353/2023 Pagina 8 regolamento (CE) n. 987/2009 del Parlamento europeo e del Consiglio del 16 settembre 2009 (RS 0.831.109.268.11) che stabilisce le modalità di ap- 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4.2.2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w:t>
      </w:r>
    </w:p>
    <w:p>
      <w:r>
        <w:rPr>
          <w:b/>
        </w:rPr>
        <w:t>E. 4.2.3</w:t>
      </w:r>
    </w:p>
    <w:p>
      <w:r>
        <w:t>Se – come nel caso concreto – la decisione con cui è stata concessa la rendita è stata emanata dopo il 1° gennaio 2022, ma il diritto alla rendita è nato prima di questa data (rispettivamente il 1° agosto 2020 e il 1° feb- braio 2021), sono applicabili le disposizioni della LAI e dell'OAI nella loro</w:t>
      </w:r>
    </w:p>
    <w:p>
      <w:r>
        <w:t>C-5353/2023 Pagina 9 versione in vigore fino al 31 dicembre 2021 (Circolare dell'UFAS sull'inva- lidità e sulla rendita nell'assicurazione per l'invalidità [CIRAI; valida dal 1° gennaio 2022, stato al 1° luglio 2022], cifra marginale 9101; Circolare dell'UFAS concernente le disposizioni transitorie della riforma Ulteriore svi- luppo dell'AI sul sistema di rendite lineare [Circ DT US AI; valida dal 1° gennaio 2022, stato al 1° gennaio 2022], cifra marginale 1007). All'entrata in vigore della modifica legislativa il ricorrente stava infatti per compiere 58 anni.</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t>C-5353/2023 Pagina 10</w:t>
      </w:r>
    </w:p>
    <w:p>
      <w:r>
        <w:rPr>
          <w:b/>
        </w:rPr>
        <w:t>E. 5.2</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5.3</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6.1</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 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6.2</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t>C-5353/2023 Pagina 11</w:t>
      </w:r>
    </w:p>
    <w:p>
      <w:r>
        <w:rPr>
          <w:b/>
        </w:rPr>
        <w:t>E. 6.3</w:t>
      </w:r>
    </w:p>
    <w:p>
      <w:r>
        <w:t>In caso d'assegnazione retroattiva di una rendita scalare o limitata nel tempo la data di modifica del diritto deve essere stabilita conformemente all'art. 88a OAI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6.4</w:t>
      </w:r>
    </w:p>
    <w:p>
      <w:r>
        <w:t>Assegnando retroattivamente una rendita d'invalidità decrescente/cre- scente e/o limitata nel tempo, l'autorità amministrativa disciplina un rap- porto giuridico suscettibile, in caso di contestazione, di essere oggetto della lite e dell'impugnativa. Qualora sia contestata solo la riduzione o la sop- 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 zione sia accordata con effetto retroattivo – ma limitata nel tempo, aumen- tata oppure ridotta – esiste un'unica relazione giuridica. Ciò vale anche se l'assegnazione della rendita d'invalidità graduata e/o limitata nel tempo è stata comunicata mediante più decisioni (DTF 131 V 164 consid. 2.2 e 2.3).</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w:t>
      </w:r>
    </w:p>
    <w:p>
      <w:r>
        <w:t>C-5353/2023 Pagina 12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w:t>
      </w:r>
    </w:p>
    <w:p>
      <w:r>
        <w:t>C-5353/2023 Pagina 13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e del ser- vizio medico dell’UAIE sono da considerare quali rapporti medici interni all’amministrazione (sentenze del TF 9C_159/2016 del 2 novembre 2016 consid. 2.2 e 8C_197/2014 del 3 ottobre 2014 consid. 4). Giusta l’art. 59 cpv. 2bis LAI (nella versione in vigore fino al 31 dicembre 2021) i servizi medici regionali sono a disposizione degli uffici AI per valu- tare le condizioni mediche del diritto alle prestazioni, stabiliscono la capa- cità funzionale dell’assicurato – determinante per l’AI secondo l’art. 6 LPGA – di esercitare un’attività lucrativa o di svolgere le mansioni consuete in una misura ragionevolmente esigibile e sono indipendenti per quanto concerne le decisioni in ambito medico nel caso specifico. Se occorre, i servizi medici regionali possono eseguire direttamente esami medici sugli assicurati; mettono per scritto i risultati degli esami (art. 49 cpv. 2 OAI [RS 831.201]). Ai rapporti del SMR può essere attribuito pieno valore</w:t>
      </w:r>
    </w:p>
    <w:p>
      <w:r>
        <w:t>C-5353/2023 Pagina 14 probatorio come alle perizie mediche esterne, a condizione che essi sod- 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 denza dei pareri medici del SMR, non è possibile decidere unicamente sui rapporti SMR, ma occorre effettuare un completamento dell’istruttoria (DTF 139 V 225 consid. 5.2; sentenza del TF 8C_262/2016 del 22 settembre 2016 consid. 4.2).</w:t>
      </w:r>
    </w:p>
    <w:p>
      <w:r>
        <w:rPr>
          <w:b/>
        </w:rPr>
        <w:t>E. 8</w:t>
      </w:r>
    </w:p>
    <w:p>
      <w:r>
        <w:t>Nel caso concreto, l’autorità inferiore ha fondato la propria decisione sui rapporti SMR del dott. I._______ – che a sua volta aveva maturato le pro- prie conclusioni sulla base della documentazione medica assunta agli atti da C._______ – non ritenendo necessario acclarare ulteriormente lo stato di salute dell’assicurato mediante accertamenti propri.</w:t>
      </w:r>
    </w:p>
    <w:p>
      <w:r>
        <w:rPr>
          <w:b/>
        </w:rPr>
        <w:t>E. 8.1</w:t>
      </w:r>
    </w:p>
    <w:p>
      <w:r>
        <w:t>Giova rammentare che C._______ aveva preso a carico, quali conse- guenze dell’infortunio professionale del 31 agosto 2018, i tre interventi chi- rurgici alla spalla sinistra a cui l’interessato è stato sottoposto il 2 settembre 2018 (doc. UAIE 102-124), il 1° ottobre 2020 (doc. UAIE 191-196, 200) e l’11 maggio 2021 (doc. UAIE 210-217, 226-227), assumendo agli atti i re- ferti specialistici dei medici curanti e monitorando l’evoluzione del suo stato di salute e della sua capacità lavorativa dal giorno del sinistro.</w:t>
      </w:r>
    </w:p>
    <w:p>
      <w:r>
        <w:rPr>
          <w:b/>
        </w:rPr>
        <w:t>E. 8.1.1</w:t>
      </w:r>
    </w:p>
    <w:p>
      <w:r>
        <w:t>Nel rapporto del 26 marzo 2021 (doc. UAIE 202), consecutivo alla visita del 2 marzo 2021, il dott. H._______ ha posto le seguenti diagnosi: - Sindrome algica accentuata sotto carico, riduzione pluri-direzionale della mo- bilità, diminuzione della forza e della resistenza agli sforzi spalla sinistra in presenza di uno stato dopo frattura scomposta pluri-frammentaria della sca- pola e della glena sinistra il 31 agosto 2018, osteosintesi il 2 settembre 2018, rimozione del materiale di osteosintesi il 1° ottobre 2020. - Fratture costali Ill e IV a sinistra, pneumotorace sinistro il 31 agosto 2018, gua- riti senza postumi. Egli ha quindi constatato un decorso favorevole e una guarigione senza conseguenze per quanto concerne le fratture costali. Anche per quanto attiene alla frattura pluri-frammentaria è stato attestato un decorso favorevole sebbene contraddistinto dalla persistenza di un</w:t>
      </w:r>
    </w:p>
    <w:p>
      <w:r>
        <w:t>C-5353/2023 Pagina 15 quadro algico accentuato sotto carico, talvolta con scrocchi e diminuzione della mobilità. Il perito aveva quindi segnalato che lo stato di salute avrebbe potuto con- siderarsi stabilizzato, a meno che l’esame di artro-TAC previsto per il 22 marzo 2021 non avesse documentato la presenza di lesioni strutturali ne- cessitanti ulteriori misure terapeutiche. Tale eventualità si è effettivamente realizzata, essendo emerso dall’esame che un tendine era in procinto di staccarsi e che ha quindi richiesto una terza ripresa chirurgica, eseguita l’11 maggio 2021 (doc. UAIE 204, 210).</w:t>
      </w:r>
    </w:p>
    <w:p>
      <w:r>
        <w:rPr>
          <w:b/>
        </w:rPr>
        <w:t>E. 8.1.2</w:t>
      </w:r>
    </w:p>
    <w:p>
      <w:r>
        <w:t>Dal rapporto d’uscita del 31 maggio 2021 è emerso un decorso post- operatorio privo di complicazioni. L’interessato è stato dimesso con prescri- zione di fisioterapia passiva (doc. UAIE 211). Anche la convalescenza è risultata nella norma e dalla sesta settimana è stata prescritta la fisioterapia di mobilitazione (doc. UAIE 215). A tre mesi dall’intervento il dott. J._______, specialista curante in chirurgia ortopedica e traumatologia dell'apparato locomotore, ha segnalato un’evoluzione favorevole dal punto di vista della mobilità articolare e prescritto fisioterapia contro resistenza (doc. UAIE 217). Il medesimo medico, a seguito della visita del 6 ottobre 2021, ha ritenuto esservi stato “un ulteriore miglioramento delle ampiezze articolari della spalla sinistra con anche un lieve recupero della forza mu- scolare” (doc. UAIE 226). A seguito dell’ultima visita di controllo del 22 di- cembre 2021, pur precisando che la situazione della spalla non avrebbe più potuto essere comparabile a quella precedente all’infortunio, il dott. J._______ ha ribadito di ritenere l’evoluzione favorevole, riscontrando una mobilità articolare molto buona, con possibilità di migliorare ancora la rota- zione interna e la forza del sovra-spinato (doc. UAIE 227).</w:t>
      </w:r>
    </w:p>
    <w:p>
      <w:r>
        <w:rPr>
          <w:b/>
        </w:rPr>
        <w:t>E. 8.1.3</w:t>
      </w:r>
    </w:p>
    <w:p>
      <w:r>
        <w:t>Nel rapporto del 21 settembre 2022 (doc. UAIE 231), consecutivo alla visita del 31 agosto 2022, il dott. H._______ ha preso atto dell’evoluzione post-operatoria ritenuta favorevole dai medici curanti e della conclusione del percorso terapeutico riabilitativo ad oltre un anno dal suddetto inter- vento. Ha quindi fornito un aggiornamento delle diagnosi con influsso sulla capacità lavorativa: - Sindrome algica accentuata sotto carico, riduzione pluri-direzionale della mobilità, diminuzione della forza e della resistenza agli sforzi spalla sinistra in presenza di uno stato dopo o frattura scomposta pluri-frammentaria della scapola e della glena sinistra il 31 agosto 2018; o osteosintesi il 2 settembre 2018;</w:t>
      </w:r>
    </w:p>
    <w:p>
      <w:r>
        <w:t>C-5353/2023 Pagina 16 o rimozione del materiale di osteosintesi il 1° ottobre 2020; o artroscopia diagnostica, tenotomia del capolungo del bicipite, suture del sotto-spinato in presenza di una estesa lesione del sovra-spinato, di una moderata tendinopatia del capolungo del bicipite l’11 maggio 2021. - Neuropatia del nervo ascellare a sinistra. - Disfunzione del rachide lombare. Le diagnosi di fratture costali Ill e IV a sinistra e pneumotorace sinistro il 31 agosto 2018, guariti senza postumi, sono stati per contro ritenute senza influsso sulla capacità lavorativa. Il dott. H._______ ha chiarito che il quadro clinico riscontrato e quello ra- diologico documentato non evidenziano “degli stati pregressi o dei fattori extra-infortunistici suscettibili di incidere sulla natura, sull’evoluzione e sull’entità dei postumi infortunistici”. Egli ha nondimeno ritenuto che a causa delle lesioni osservate permane il rischio, in futuro, di sviluppo di alterazioni artrosiche alla spalla sinistra, nonostante al momento dell’esame clinico il riscontro artroscopico indicasse una buona con- gruenza articolare senza evidente scalino. Egli ha quindi ritenuto indicata la continuazione di 2-3 cicli di fisioterapia all’anno, precisando che l’ado- zione di misure terapeutiche assume prettamente una valenza di manteni- mento dello stato di salute attuale. Quanto al quadro neurologico egli ha ritenuto non esservi evidenti indizi di una componente deficitaria sensitivo- motoria di rilievo e che l’irradiazione algica all’arto superiore sinistro po- trebbe essere riconducibile ad una componente irritativa, un’ipersensibilità in corrispondenza della scapola sinistra. Dal punto di vista della capacità lavorativa il perito ha ritenuto l’insorgente completamente abile al lavoro in attività adeguate, come pure nella profes- sione di autista, senza mansioni di carico e scarico. Quanto ai limiti funzio- nali egli ha precisato che “Vengono ritenute adatte delle attività lavorative leggere svolte al di sotto della orizzontale e accostate al tronco, che non richiedono l’esecuzione prolungata o frequente di movimenti ripetitivi ad ampio raggio anche al di sotto dell’orizzontale e senza carico, che non espongono a vibrazioni, contusioni oppure a un rischio accresciuto di mo- vimenti bruschi non controllati, che non richiedono l’esecuzione di movi- menti o il mantenimento prolungato di posizioni inergonomiche per il tronco, in particolare per il rachide cervicale”.</w:t>
      </w:r>
    </w:p>
    <w:p>
      <w:r>
        <w:t>C-5353/2023 Pagina 17</w:t>
      </w:r>
    </w:p>
    <w:p>
      <w:r>
        <w:rPr>
          <w:b/>
        </w:rPr>
        <w:t>E. 8.2.1</w:t>
      </w:r>
    </w:p>
    <w:p>
      <w:r>
        <w:t>La documentazione prodotta in corso di causa è stata sottoposta a più riprese al dott. I._______ (doc. UAIE 35, 47), che nel rapporto finale SMR del 19 ottobre 2022 ha ripreso integralmente le diagnosi già esposte dal dott. H._______ non avendo riscontrato la presenza di patologie extra- infortunistiche. Riguardo alle limitazioni funzionali egli ha ritenuto possibile l’esecuzione di attività che permettano l’alternanza della postura al biso- gno, non esposte a vibrazioni o episodi di contusioni o movimenti bruschi non controllati e che non richiedano di sollevare pesi sopra l’orizzontale con il braccio sinistro e in generale carichi superiori a 10kg. Non ha per contro riscontrato difficoltà nello svolgere lavori di precisione, né tantomeno la necessità di fare pause supplementari. A fronte di una situazione clinica ormai stazionaria il dott. I._______ ha ricapitolato in modo esaustivo tutti i periodi d’incapacità lavorativa e ritenuto esigibile la ripresa di un’attività la- vorativa adeguata alle limitazioni funzionali a partire dalla visita del dott. H._______, ossia dal 31 agosto 2022 (doc. UAIE 63 e 74).</w:t>
      </w:r>
    </w:p>
    <w:p>
      <w:r>
        <w:rPr>
          <w:b/>
        </w:rPr>
        <w:t>E. 8.2.2</w:t>
      </w:r>
    </w:p>
    <w:p>
      <w:r>
        <w:t>La riacutizzazione dei dolori lamentata dall’assicurato successiva- mente alla chiusura del caso da parte di C._______ (con decisione del 3 ottobre 2022 [doc. UAIE 243]) e di cui lo stesso dott. J._______ si è detto sorpreso nel rapporto del 29 marzo 2023 (doc. UAIE 233), è stata ritenuta dal dott. H._______ essere in nesso di causalità preponderante con il sini- stro del 2018, senza che tuttavia comportasse un peggioramento del qua- dro clinico, ritenuto da quest’ultimo parificabile a quello constatato in occa- sione della visita del 31 agosto 2022 (doc. UAIE 237). La sintomatologia algica non è stata pertanto considerata quale ricaduta da parte di C._______ che con decisione del 5 maggio 2023 ha rifiutato la riapertura del caso (doc. UAIE 238).</w:t>
      </w:r>
    </w:p>
    <w:p>
      <w:r>
        <w:rPr>
          <w:b/>
        </w:rPr>
        <w:t>E. 8.2.3</w:t>
      </w:r>
    </w:p>
    <w:p>
      <w:r>
        <w:t>A fronte del riscontro del dott. H._______, il dott. I._______, nell’annotazione del 16 agosto 2023 ha confermato la validità delle conclusioni a cui era giunto nel rapporto finale del 19 ottobre 2022 (doc. UAIE 238).</w:t>
      </w:r>
    </w:p>
    <w:p>
      <w:r>
        <w:rPr>
          <w:b/>
        </w:rPr>
        <w:t>E. 8.3.1</w:t>
      </w:r>
    </w:p>
    <w:p>
      <w:r>
        <w:t>A mente di questo Tribunale, occorre concordare con l’autorità inferiore che ritiene lo stato di salute stabilizzato e l’interessato completamente abile al lavoro in un’attività confacente a decorrere dal 31 agosto 2022. Dalla documentazione agli atti non emergono infatti elementi suscettibili di mettere in discussione le valutazioni dei medici fiduciari dei</w:t>
      </w:r>
    </w:p>
    <w:p>
      <w:r>
        <w:t>C-5353/2023 Pagina 18 due assicuratori, né di ritenere opportuno svolgere ulteriori indagini per valutare l’incidenza di patologie non precedentemente considerate in ambito infortunistico. Non sono infatti riscontrabili indizi che attestino l’esistenza di patologie extra-infortunistiche suscettibili di influire sulla capacità lavorativa dell’assicurato.</w:t>
      </w:r>
    </w:p>
    <w:p>
      <w:r>
        <w:rPr>
          <w:b/>
        </w:rPr>
        <w:t>E. 8.3.2</w:t>
      </w:r>
    </w:p>
    <w:p>
      <w:r>
        <w:t>Non giova in tal senso al ricorrente il rapporto del 20 giugno 2023 del dott. K._______, specialista in medicina legale. Innanzitutto poiché quest’ultimo si basa sul medesimo substrato fattuale già esaminato dai me- dici fiduciari dei due assicuratori, ragione per cui quando afferma di aver riscontrato un peggioramento dello stato di salute rispetto al 2021, occorre ritenere che, in essenza di elementi oggettivi e concreti a suffragio di tale tesi, stia semplicemente esprimendo una differente valutazione della me- desima fattispecie. Egli d’altro canto non esprime alcuna opinione riguardo alla residua capacità lavorativa dell’interessato, limitandosi ad esporre quello che a suo modo di vedere è un corretto grado di menomazione dell’integrità fisica. Al riguardo, giova rilevare infine che, al pari del dott. H._______, anche il dott. K._______ si dice convinto del fatto che il quadro clinico osservato sia correlato esclusivamente all’evento infortunistico (doc. UAIE 242).</w:t>
      </w:r>
    </w:p>
    <w:p>
      <w:r>
        <w:rPr>
          <w:b/>
        </w:rPr>
        <w:t>E. 8.3.3</w:t>
      </w:r>
    </w:p>
    <w:p>
      <w:r>
        <w:t>Neppure la relazione medico legale del 2 ottobre 2023 del dott. L._______, specialista in medicina legale e delle assicurazioni, consente di supportare maggiormente la tesi del ricorrente (cfr. allegato al doc. TAF 1). Quest’ultimo pone esattamente le medesime diagnosi del dott. H._______ – con l’aggiunta dell’obesità e del diabete mellito, che erano già state menzionate dal dott. I._______ nel rapporto SMR del 4 agosto 2021 (doc. UAIE 47) – giungendo tuttavia alla conclusione che tali affezioni de- terminassero una ridotta capacità lavorativa del 40% anche in attività alter- native di tipo medio-leggero, compatibili anche con il suo grado di atten- zione e concentrazione. A tal proposito si osserva che la lapidaria conclu- sione a cui giunge il dott. L._______ non soltanto non è minimamente so- stanziata da elementi di seria consistenza, ma neppure si confronta con la differente valutazione esposta dai medici fiduciari delle due assicurazioni. Per tale motivo appare oltremodo difficile capire quali siano le ragioni alla base delle sue conclusioni in punto alla residua capacità lavorativa. In de- finitiva, analogamente a quanto già detto in precedenza riguardo al rap- porto del dott. K._______, anche la conclusione del dott. L._______ va considerata alla stregua di una valutazione differente della medesima fatti- specie. In tal senso si è per altro espresso anche il dott. I._______ nell’an- notazione del 4 dicembre 2023 (cfr. allegato al doc. TAF 8).</w:t>
      </w:r>
    </w:p>
    <w:p>
      <w:r>
        <w:t>C-5353/2023 Pagina 19</w:t>
      </w:r>
    </w:p>
    <w:p>
      <w:r>
        <w:rPr>
          <w:b/>
        </w:rPr>
        <w:t>E. 8.4</w:t>
      </w:r>
    </w:p>
    <w:p>
      <w:r>
        <w:t>A fronte di quanto precede non vi è pertanto ragione di distanziarsi dalle conclusioni mediche su cui si è fondata l’autorità inferiore.</w:t>
      </w:r>
    </w:p>
    <w:p>
      <w:r>
        <w:rPr>
          <w:b/>
        </w:rPr>
        <w:t>E. 9</w:t>
      </w:r>
    </w:p>
    <w:p>
      <w:r>
        <w:t>Pur non essendo oggetto di contestazione, questo Tribunale rileva inoltre che neppure sotto il profilo economico la valutazione dell’autorità inferiore (si confrontino doc. UAIE 75-77) necessita di correttivi.</w:t>
      </w:r>
    </w:p>
    <w:p>
      <w:r>
        <w:rPr>
          <w:b/>
        </w:rPr>
        <w:t>E. 10.1</w:t>
      </w:r>
    </w:p>
    <w:p>
      <w:r>
        <w:t>Alla luce di quanto esposto sopra, risulta pertanto corretto ritenere, come fatto dall’amministrazione, che a partire dal 1° dicembre 2022 (ossia tre mesi dopo il miglioramento rispettivamente la stabilizzazione dello stato di salute e della capacità lavorativa) il ricorrente presenta un grado di inva- lidità non pensionabile, pari all’8.6%.</w:t>
      </w:r>
    </w:p>
    <w:p>
      <w:r>
        <w:rPr>
          <w:b/>
        </w:rPr>
        <w:t>E. 10.2</w:t>
      </w:r>
    </w:p>
    <w:p>
      <w:r>
        <w:t>Da quanto esposto consegue che il ricorso, destituito di fondamento, non merita tutela e la decisione impugnata va confermata.</w:t>
      </w:r>
    </w:p>
    <w:p>
      <w:r>
        <w:rPr>
          <w:b/>
        </w:rPr>
        <w:t>E. 11.1</w:t>
      </w:r>
    </w:p>
    <w:p>
      <w:r>
        <w:t>Visto l'esito della causa, le spese processuali, che seguono la soc- combenza, andrebbero poste a carico del ricorrente (art. 63 PA e art. 3 lett. b del regolamento del 21 febbraio 2008 sulle tasse e sulle spese ripetibili nelle cause dinanzi al Tribunale amministrativo federale [TS-TAF, RS 173.320.2]). Nel caso concreto, questo Tribunale deve tuttavia ancora esprimersi in me- rito alla domanda di assistenza giudiziaria formulata nel gravame e com- pletata con la documentazione relativa alla situazione economica del nu- cleo famigliare del ricorrente (doc. TAF 7).</w:t>
      </w:r>
    </w:p>
    <w:p>
      <w:r>
        <w:rPr>
          <w:b/>
        </w:rPr>
        <w:t>E. 11.2.1</w:t>
      </w:r>
    </w:p>
    <w:p>
      <w:r>
        <w:t>Giusta l'art. 65 cpv. 1 PA, a cui rinvia l'art. 37 LTAF, se una parte non dispone di mezzi necessari e le sue conclusioni non sembrano prive di pro- babilità di successo, il giudice dell'istruzione la dispensa, a domanda, dopo il deposito del ricorso, dal pagamento delle spese processuali. Una parte si trova nel bisogno qualora non sia in grado, entro un termine adeguato, di pagare le spese giudiziarie senza pregiudicare i mezzi neces- sari al suo sostentamento e a quello della sua famiglia (sentenze del TF</w:t>
      </w:r>
    </w:p>
    <w:p>
      <w:r>
        <w:t>C-5353/2023 Pagina 20 9C_112/2014 del 19 marzo 2014 e 9C_147/2011; DTF 128 I 225 consid. 2.5.1). Lo stato di bisogno deve essere valutato in base alle risorse finanziarie (reddito e sostanza mobiliare e immobiliare) dell'istante (DTF 124 I 1 con- sid. 2a) e, dandosi il caso, delle persone che hanno verso di lui degli obbli- ghi di mantenimento (per esempio il coniuge; DTF 120 Ia 179; 115 Ia 193). Il limite per ammettere lo stato di bisogno si situa al di sopra di quello del minimo esistenziale agli effetti del diritto esecutivo. All'importo base LEF viene pertanto applicato di regola un supplemento, variante tra il 15% e il 25% (sentenza del TF I 134/06 del 7 maggio 2007 consid. 5.3 con rinvii).</w:t>
      </w:r>
    </w:p>
    <w:p>
      <w:r>
        <w:rPr>
          <w:b/>
        </w:rPr>
        <w:t>E. 11.2.2</w:t>
      </w:r>
    </w:p>
    <w:p>
      <w:r>
        <w:t>Secondo il tasso di cambio al momento della compilazione del for- mulario di assistenza giudiziaria (27 novembre 2023), un Euro equivaleva a fr. 0.96.- (https://www.oanda.com/currency-converter/it), verrà quindi rite- nuto per praticità Euro 1.- = fr. 1.- (cfr. anche sentenza del TF 9C_423/2017 del 10 luglio 2017 consid. 3.3).</w:t>
      </w:r>
    </w:p>
    <w:p>
      <w:r>
        <w:rPr>
          <w:b/>
        </w:rPr>
        <w:t>E. 11.2.3</w:t>
      </w:r>
    </w:p>
    <w:p>
      <w:r>
        <w:t>Nell’evenienza concreta, il ricorrente ha dichiarato di essere senza attività lucrativa e di percepire quale unica entrata il reddito di cittadinanza pari a fr. 193.- al mese (formulario "Domanda di gratuito patrocinio" p. 1). La moglie, dal canto suo, percepisce una pensione di fr. 700.- al mese (al- legato 1 al doc. TAF 7). Le entrate del nucleo famigliare sono pertanto pari a fr. 893.- al mese.</w:t>
      </w:r>
    </w:p>
    <w:p>
      <w:r>
        <w:rPr>
          <w:b/>
        </w:rPr>
        <w:t>E. 11.2.4</w:t>
      </w:r>
    </w:p>
    <w:p>
      <w:r>
        <w:t>Per determinare il fabbisogno, in primo luogo va tenuto conto del minimo esistenziale, che corrisponde ad un forfait di spese di sostenta- mento, abbigliamento e biancheria, igiene e salute, manutenzione delle ap- parecchiature e dell'arredamento domestico, assicurazioni private, cultura, così come le spese di elettricità e/o gas per la luce e la cucina, ecc. Per coniugi residenti in Svizzera il minimo esistenziale ammonta a CHF 1'700.- (conformemente alla "Tabella per il calcolo del minimo di esistenza agli ef- fetti del diritto esecutivo (art. 93 LEF)", disponibile sul sito internet: http://www4.ti.ch/poteri/giudiziario/giustizia-civile/tabella-dei-minimi-desi- stenza, consultato il 2 dicembre 2024). Questo importo deve essere adattato al Paese d'origine del ricorrente, in questo caso l'Italia, secondo l'indice dei prezzi dell'Organizzazione per la cooperazione e per lo sviluppo economico (OECD, dati ricavati dal sito in- ternet: http://www.oecd-ilibrary.org/economics/data/prices/comparative-</w:t>
      </w:r>
    </w:p>
    <w:p>
      <w:r>
        <w:t>C-5353/2023 Pagina 21 price-levels_data-00536-en, consultato il 2 dicembre 2024, relativo ai valori di settembre 2024), e da ultimo deve ancora essere maggiorato del 20%. Il minimo esistenziale del richiedente è dunque pari a fr. 1'142.- al mese (= 1'700 x 56% x 120%).</w:t>
      </w:r>
    </w:p>
    <w:p>
      <w:r>
        <w:rPr>
          <w:b/>
        </w:rPr>
        <w:t>E. 11.2.5</w:t>
      </w:r>
    </w:p>
    <w:p>
      <w:r>
        <w:t>A tale importo andrebbe aggiunto il canone di locazione, assicura- zioni obbligatorie o usuali, eventuali costi per il conseguimento del reddito e imposte arretrate, nel caso vengano effettivamente pagate, nonché i con- tributi dovuti in virtù del diritto di famiglia. Essendo tuttavia evidente che, anche considerando unicamente il minimo esistenziale, il fabbisogno del ricorrente è di gran lunga superiore alle entrate sulle quali egli può mensil- mente contare, si può soprassedere all’esame dettagliato delle voci di spesa menzionate da quest’ultimo nel formulario "Domanda di gratuito pa- trocinio" (pag. 4), ammettendo un ammanco mensile di almeno fr. 250.-.</w:t>
      </w:r>
    </w:p>
    <w:p>
      <w:r>
        <w:rPr>
          <w:b/>
        </w:rPr>
        <w:t>E. 11.2.6</w:t>
      </w:r>
    </w:p>
    <w:p>
      <w:r>
        <w:t>Alla luce delle suesposte circostanze, è assodato che al momento della presentazione della domanda il ricorrente non disponeva dei mezzi necessari per far fronte al proprio sostentamento. Non vi è dunque necessità di esaminare ulteriormente la sostanza di cui egli dispone (pari a fr. 2'631.-, secondo quanto dichiarato), essendo mani- festamente inferiore all’importo considerato “riserva di soccorso” (tra i fr. 20'000.- e fr. 40'000.-), né tantomeno la situazione debitoria di quest’ultimo.</w:t>
      </w:r>
    </w:p>
    <w:p>
      <w:r>
        <w:rPr>
          <w:b/>
        </w:rPr>
        <w:t>E. 11.2.7</w:t>
      </w:r>
    </w:p>
    <w:p>
      <w:r>
        <w:t>In considerazione di quanto precede la situazione di indigenza del ricorrente dev’essere ammessa, Posto che il ricorso non appariva al momento della domanda di assistenza giudiziaria di primo acchito privo di probabilità di esito favorevole, la do- manda di assistenza giudiziaria va accolta.</w:t>
      </w:r>
    </w:p>
    <w:p>
      <w:r>
        <w:rPr>
          <w:b/>
        </w:rPr>
        <w:t>E. 11.2.8</w:t>
      </w:r>
    </w:p>
    <w:p>
      <w:r>
        <w:t>In simili condizioni non sono prelevate delle spese processuali.</w:t>
      </w:r>
    </w:p>
    <w:p>
      <w:r>
        <w:rPr>
          <w:b/>
        </w:rPr>
        <w:t>E. 11.3</w:t>
      </w:r>
    </w:p>
    <w:p>
      <w:r>
        <w:t>Al ricorrente, soccombente, non spetta alcuna indennità per spese ri- petibili della sede federale (art. 64 PA in combinazione con l'art. 7 cpv. 1 e 2 TS-TAF a contrario).</w:t>
      </w:r>
    </w:p>
    <w:p>
      <w:r>
        <w:rPr>
          <w:b/>
        </w:rPr>
        <w:t>E. 11.4</w:t>
      </w:r>
    </w:p>
    <w:p>
      <w:r>
        <w:t>Peraltro, le autorità federali, quand'anche vincenti, non hanno di prin- cipio diritto a un'indennità a titolo di ripetibili (art. 7 cpv. 3 TS-TAF), salvo eccezioni non ravvisabili nel caso concreto (v., fra l'altro, DTF 127 V 205).</w:t>
      </w:r>
    </w:p>
    <w:p>
      <w:r>
        <w:t>C-5353/2023 Pagina 22</w:t>
      </w:r>
    </w:p>
    <w:p>
      <w:r>
        <w:t>Per questi motivi, il Tribunale amministrativo federale pronun- cia: 1. Il ricorso è respinto. 2. La domanda di assistenza giudiziaria è accolta. 3. Non si prelevano spese processuali, né si attribuiscono ripetibili. 4. Questa sentenza è comunicata al ricorrente, all'autorità inferiore e all’UFAS. I rimedi giuridici sono menzionati alla pagina seguente.</w:t>
      </w:r>
    </w:p>
    <w:p>
      <w:r>
        <w:t>La presidente del collegio: Il cancelliere:</w:t>
      </w:r>
    </w:p>
    <w:p>
      <w:r>
        <w:t>Michela Bürki Moreni Luca Rossi</w:t>
      </w:r>
    </w:p>
    <w:p>
      <w:r>
        <w:t>C-5353/2023 Pagina 23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