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C-5351/2011 vom 15. Mai 2012</w:t>
      </w:r>
    </w:p>
    <w:p>
      <w:r>
        <w:t>Bundesverwaltungsgericht, 2012-05-15, FR</w:t>
      </w:r>
    </w:p>
    <w:p>
      <w:r>
        <w:rPr>
          <w:b/>
        </w:rPr>
        <w:t xml:space="preserve">Quelle: </w:t>
      </w:r>
      <w:r>
        <w:t>https://mcp.opencaselaw.ch/entscheid/bvger_C-5351_2011</w:t>
      </w:r>
    </w:p>
    <w:p>
      <w:r>
        <w:t>FR: TAF C-5351/2011 du 15 mai 2012</w:t>
      </w:r>
    </w:p>
    <w:p>
      <w:r>
        <w:t>IT: TAF C-5351/2011 del 15 maggio 2012</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et B._______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135 II 1 consid. 1.1 et ATAF 2009/27 consid. 3, ainsi que la jurisprudence citée).</w:t>
      </w:r>
    </w:p>
    <w:p>
      <w:r>
        <w:rPr>
          <w:b/>
        </w:rPr>
        <w:t>E. 4</w:t>
      </w:r>
    </w:p>
    <w:p>
      <w:r>
        <w:t>Les dispositions sur la procédure en matière de visa ainsi que sur l'entrée et la sortie de Suisse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(cf. notamment ATAF 2009/27 précité, consid. 5.1 et 5.2).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 p. 344).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5</w:t>
      </w:r>
    </w:p>
    <w:p>
      <w:r>
        <w:t>Le Règlement (CE) no 539/2001 du Conseil du 15 mars 2001 (JO L 81 du 21 mars 2001, p. 1-7) différencie, en son art. 1 par. 1 et 2, les ressortissants des Etats tiers selon qu'ils sont soumis ou non à l'obligation du visa. Du fait de leur nationalité, C._______ et D._______ sont soumises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Toutefois, la seule situation dans le pays d'origine ou de provenance ne suffit pas à conclure à l'absence de garantie quant à la sortie de Suisse à l'issue du séjour, toutes les particularités du cas d'espèce devant être prises en considération.</w:t>
      </w:r>
    </w:p>
    <w:p>
      <w:r>
        <w:rPr>
          <w:b/>
        </w:rPr>
        <w:t>E. 6.4</w:t>
      </w:r>
    </w:p>
    <w:p>
      <w:r>
        <w:t>A ce sujet, il faut prendre en considération la qualité de vie et les conditions économiques et sociales difficiles que connaît l'ensemble de la population de la République du Mali. S'agissant de la situation économique de ce pays, il convient de souligner qu'avec un produit intérieur brut (PIB) par habitant de $ 691 en 2010, elle demeure nettement en dessous des standards européens. Par ailleurs, selon le PNUD, l'indice de développement humain du Mali se situe à la 160ème place sur 169. Ce pays est ainsi l'un des plus pauvre du monde (sources: site internet du Ministère français des affaires étrangères &gt; France-Diplomatie &gt; Pays-zones géo &gt; Mali &gt; Présentation &gt; Données générales &gt; Données économiques; et site internet du DFAE &gt; Représentation &gt; Afrique &gt; Mali &gt; La République du Mali en bref; consultés le 4 mai 2012). Dès lors, ces conditions économiques particulières ne sont pas sans exercer une pression migratoire importante. Cette tendance migratoire est encore renforcée, comme l'expérience l'a démontré, lorsque les personnes concernées peuvent s'appuyer à l'étranger sur un réseau social (parents, amis) préexistant, comme cela est le cas en l'espèce.</w:t>
      </w:r>
    </w:p>
    <w:p>
      <w:r>
        <w:rPr>
          <w:b/>
        </w:rPr>
        <w:t>E. 6.5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7</w:t>
      </w:r>
    </w:p>
    <w:p>
      <w:r>
        <w:t>Sans vouloir minimiser l'importance des motifs d'ordre familial sur lesquels C._______ et sa petite-fille D._______ fondent leur demande d'autorisation d'entrée en Suisse (séjour auprès de son fils, respectivement oncle, et de sa famille), le Tribunal ne saurait admettre, au vu de l'ensemble des éléments du dossier, que la sortie de ce pays des intéressées au terme du séjour envisagé soit suffisamment garantie. Certes, les recourants assurent dans le cadre de la procédure de recours que C._______ (mère de A._______ et grand-mère de ses fils) et D._______ (nièce du prénommé) retourneront à l'issue du séjour projeté dans leur pays d'origine, où elles ont des attaches familiales importantes (un fils, deux filles et les familles de ceux-ci pour C._______ et parents et deux frères et soeurs pour D._______), ainsi que tous leurs amis (cf. courrier du 24 mars 2012). Même si le Tribunal ne remet pas en cause ce qui précède et s'il convient d'admettre que de tels liens peuvent, dans une certaine mesure, inciter des personnes, au terme du séjour envisagé en Suisse, à retourner dans le pays où elles résident, ces liens ne sauraient, notamment dans le contexte socio-économique dans lequel se trouve le Mali, suffire toutefois, à eux seuls, à garantir le retour de ces personnes dans cet Etat.</w:t>
      </w:r>
    </w:p>
    <w:p>
      <w:r>
        <w:rPr>
          <w:b/>
        </w:rPr>
        <w:t>E. 7.1</w:t>
      </w:r>
    </w:p>
    <w:p>
      <w:r>
        <w:t>Au vu de l'âge de C._______, de son état civil (veuve), du fait que sans ressources propres, elle est totalement dépendante de l'aide financière de ses fils, l'on ne saurait complètement exclure que la prénommée puisse être amenée à prolonger sa présence sur le territoire helvétique au-delà de la durée de validité du visa sollicité, cela dans le but légitime de pouvoir s'occuper de son petit-fils et de soutenir la famille dans ses tâches ménagères, ce d'autant plus que A._______ et sa compagne occupent tous deux un emploi dans le canton de Vaud (cf. attestations de travail figurant au dossier cantonal). Sur un autre plan, la poursuite pour des raisons médicales, fût-elle temporaire, du séjour en Suisse de C._______ ne saurait être écartée, du fait qu'aucun renseignement n'a été donné par les recourants sur l'état de santé de l'intéressée, malgré la demande expresse du Tribunal à ce sujet. Or, âgée de 75 ans, la prénommée se trouve précisément dans une tranche d'âge susceptible à tout moment de nécessiter des soins médicaux.</w:t>
      </w:r>
    </w:p>
    <w:p>
      <w:r>
        <w:rPr>
          <w:b/>
        </w:rPr>
        <w:t>E. 7.2</w:t>
      </w:r>
    </w:p>
    <w:p>
      <w:r>
        <w:t>Cela étant, le désir exprimé par C._______, au demeurant parfaitement compréhensible, de venir en Suisse pour y effectuer un séjour de visite auprès de son fils et de la famille de celui-ci ne constitue pas à lui seul un motif justifiant l'octroi d'un visa, à propos duquel elle ne saurait au demeurant se prévaloir d'aucun droit (cf. supra consid. 3).</w:t>
      </w:r>
    </w:p>
    <w:p>
      <w:r>
        <w:rPr>
          <w:b/>
        </w:rPr>
        <w:t>E. 7.3</w:t>
      </w:r>
    </w:p>
    <w:p>
      <w:r>
        <w:t>Dans la mesure où le visa Schengen est refusé pour C._______, il n'y a pas lieu d'autoriser, au même titre, la venue seule en Suisse de la petite D._______, âgée de dix ans, pour un séjour de visite.</w:t>
      </w:r>
    </w:p>
    <w:p>
      <w:r>
        <w:rPr>
          <w:b/>
        </w:rPr>
        <w:t>E. 8</w:t>
      </w:r>
    </w:p>
    <w:p>
      <w:r>
        <w:t>Par ailleurs, les recourants n'ont pas invoqué de raisons susceptibles de justifier la délivrance d'un visa à validité territoriale limitée en faveur de leurs invitées (cf. consid. 4 in fine supra). De tels motifs ne ressortent du reste pas du dossier.</w:t>
      </w:r>
    </w:p>
    <w:p>
      <w:r>
        <w:rPr>
          <w:b/>
        </w:rPr>
        <w:t>E. 9</w:t>
      </w:r>
    </w:p>
    <w:p>
      <w:r>
        <w:t>Il sied encore de relever que le refus d'une autorisation d'entrée ne remet nullement en cause la bonne foi ou l'honnêteté des personnes qui, résidant régulièrement en Suisse, ont invité des tiers domiciliés à l'étranger pour un séjour touristique et se sont engagées à garantir les frais y relatifs et le départ de leurs invitées. Les assurances données en la matière, comme celles formulées notamment sur le plan financier par les recourants (cf. recours du 24 septembre 2011, courrier du 31 mai 2011), sont effectivement prises en compte pour se prononcer sur la question de savoir si un visa peut être accordé au ressortissant étranger qui le sollicite. Cependant, elles ne peuvent être tenues pour décisives, dans la mesure où elles n'engagent pas les requérantes elles-mêmes - celles-ci conservant seules la maîtrise de leur comportement - et ne permettent nullement d'exclure l'éventualité que les intéressées, une fois en Suisse, ne tentent d'y poursuivre durablement leur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10</w:t>
      </w:r>
    </w:p>
    <w:p>
      <w:r>
        <w:t>Au vu de l'ensemble des circonstances, le Tribunal estime qu'il ne saurait être reproché à l'ODM d'avoir considéré que le départ de Suisse de C._______ et de D._______ à l'échéance des visas requis n'était pas suffisamment assuré et, partant, d'avoir refusé la délivrance d'une autorisation d'entrée dans l'Espace Schengen en leur faveur.</w:t>
      </w:r>
    </w:p>
    <w:p>
      <w:r>
        <w:rPr>
          <w:b/>
        </w:rPr>
        <w:t>E. 11</w:t>
      </w:r>
    </w:p>
    <w:p>
      <w:r>
        <w:t>Il s'ensuit que, par sa décision du 8 septembre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