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C-5343/2008 vom 23. Februar 2011</w:t>
      </w:r>
    </w:p>
    <w:p>
      <w:r>
        <w:t>Bundesverwaltungsgericht, 2011-02-23, FR</w:t>
      </w:r>
    </w:p>
    <w:p>
      <w:r>
        <w:rPr>
          <w:b/>
        </w:rPr>
        <w:t xml:space="preserve">Quelle: </w:t>
      </w:r>
      <w:r>
        <w:t>https://mcp.opencaselaw.ch/entscheid/bvger_C-5343_2008</w:t>
      </w:r>
    </w:p>
    <w:p>
      <w:r>
        <w:t>FR: TAF C-5343/2008 du 23 février 2011</w:t>
      </w:r>
    </w:p>
    <w:p>
      <w:r>
        <w:t>IT: TAF C-5343/2008 del 23 febbraio 2011</w:t>
      </w:r>
    </w:p>
    <w:p>
      <w:pPr>
        <w:pStyle w:val="Heading2"/>
      </w:pPr>
      <w:r>
        <w:t>Regeste</w:t>
      </w:r>
    </w:p>
    <w:p>
      <w:r>
        <w:t>Droit à la rente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l'avance de frais fournie dans le délai (cf. pces 8 à 10 TAF),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normes citées ci-après sont, sauf précision contraire, celles en vigueur à compter du 1er janvier 2008. Toutefois, le droit à la rente s'étendant jusqu'au 31 décembre 2007 s'examine à la lumière des anciennes normes.</w:t>
      </w:r>
    </w:p>
    <w:p>
      <w:r>
        <w:rPr>
          <w:b/>
        </w:rPr>
        <w:t>E. 5</w:t>
      </w:r>
    </w:p>
    <w:p>
      <w:r>
        <w:t>La recourante a présenté sa demande de rente le 9 janvier 2004.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9 janvier 2003 (12 mois avant le dépôt de la demande) ou si le droit à une rente était né entre cette date et le 11 juillet 2008, date de la décision sur opposition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w:t>
      </w:r>
    </w:p>
    <w:p>
      <w:r>
        <w:rPr>
          <w:b/>
        </w:rPr>
        <w:t>E. 6.2</w:t>
      </w:r>
    </w:p>
    <w:p>
      <w:r>
        <w:t>En l'occurrence, la recourante a versé des cotisations à l'AVS/AI pendant plus de trois années au total (cf. pce 3)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7.3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La recourante a travaillé en Suisse de 1979 à 1998. Elle est ensuite retournée dans son pays d'origine et n'a depuis plus repris d'activité lucrative, à ses dires, en raison des douleurs ressenties.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la recourante souffre essentiellement de status après achromioplastie de l'épaule droite en août 1994 pour périarthrite scapulo-humérale chronique, de fibromyalgie et d'un trouble anxieux-dépressif.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10.1</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(art. 69 al. 3 RAI).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10.2</w:t>
      </w:r>
    </w:p>
    <w:p>
      <w:r>
        <w:t>Dans l'arrêt ATF 130 V 352, le Tribunal fédéral des assurances (TFA, aujourd'hui Tribunal fédéral) a précisé la jurisprudence prévoyant que les troubles somatoformes douloureux peuvent, dans certaines circonstances, conduire à une incapacité de travail (ATF 120 V 119 consid. 2c/cc; RAMA 1996 no U 256 p. 217 ss consid. 5 et 6). Le TFA a, en outre, considéré que la fibromyalgie peut être assimilée à un trouble somatoforme, plus particulièrement au syndrome douloureux somatoforme persistant (ATF 132 V 65 consid. 4.3;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 ) - plus raisonnablement être exigée de l'assuré, ou qu'elle serait même insupportable pour la société (ATF 102 V 165; VSI 2001 p. 224 s. consid. 2b et réf. cit.; ATF 130 V 352 précité consid. 2.2.3 et les arrêts cités; cf. aussi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w:t>
      </w:r>
    </w:p>
    <w:p>
      <w:r>
        <w:rPr>
          <w:b/>
        </w:rPr>
        <w:t>E. 11.1</w:t>
      </w:r>
    </w:p>
    <w:p>
      <w:r>
        <w:t>Dans la présente occurrence, l'autorité inférieure, se fondant essentiellement sur l'appréciation médicale émise par les experts de la CRR ainsi que sur celle de son service médical, a considéré que l'assurée présente une incapacité de travail de 25% dans toute activité et, dès lors, une invalidité insuffisante pour avoir droit à une rente d'invalidité. La recourante, pour sa part, a estimé que sa situation clinique justifie l'octroi, à tout le moins, d'une demi-rente de l'assurance-invalidité suisse.</w:t>
      </w:r>
    </w:p>
    <w:p>
      <w:r>
        <w:rPr>
          <w:b/>
        </w:rPr>
        <w:t>E. 11.2</w:t>
      </w:r>
    </w:p>
    <w:p>
      <w:r>
        <w:t>Les documents médicaux figurant au dossier sont en l'espèce parfaitement convergents s'agissant des diagnostics retenus. L'assurance-invalidité suisse ne couvre toutefois pas la maladie en tant que telle, mais seulement ses conséquences invalidantes. Or, les appréciations qui sont faites de ces diagnostics et de leur incidence sur la capacité de travail de la recourante divergent par contre nettement. Il est le lieu de rappeler, à cet égard,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Dans la présente cause, la Commission avait, par jugement du 22 juin 2005, expressément exigé de l'autorité inférieure qu'elle diligente une expertise rhumatologique et psychiatrique auprès d'un organisme indépendant. Les Drs Meyer (expert principal, spécialiste FMH en chirurgie orthopédique), Gobelet (directeur médical, expertise rhumatologique), Basterrechea (spécialiste FMH en psychiatrie et psychothérapie) et Arnold (spécialiste FMH en neurologie) de la CRR, mandatée par l'OAIE, ont ainsi procédé à divers examens sur la personne de l'assurée et finalement considéré d'une part que, sur le plan somatique, aucune limitation n'était à déplorer; les Drs Meyer, Gobelet et Arnold n'ont à cet égard fait état que de simples autolimitations dénuées de fondements objectifs. Les experts ont d'autre part exposé que, sur le plan psychiatrique, la dysthymie et le syndrome douloureux somatoforme diagnostiqués emportaient une diminution de la productivité de 25% dans toute activité, en raison de l'adynamie et des difficultés cognitives générées. Les conclusions de l'expertise, rendue quelques semaines avant la date de la décision attaquée, ne prêtent donc pas le flanc au doute et sont motivées à satisfaction de droit. L'expertise repose de plus indubitablement sur une étude complète et circonstanciée de la situation médicale de la recourante et ne contient aucune incohérence manifeste. Il n'y a, partant, aucune raison de ne pas y accorder foi (pces 74 à 77). La dysthymie et le trouble anxieux-dépressif diagnostiqués, tels qu'ils sont décrits par les experts, n'apparaissent effectivement guère dissociables du diagnostic de fibromyalgie et ne sauraient dès lors consister dans une comorbidité psychiatrique d'acuité et de durée relevantes, comme l'exige la jurisprudence. L'appréciation médicale des experts mandatés de la CRR est, au demeurant, confirmée par celles émises par les médecins de l'INSS, qui, dans leurs rapports E 213 des 4 février 2004 et 13 décembre 2005, ont conclu à une pleine capacité de travail de l'assurée dans son ancienne activité d'aide-infirmière ou dans une autre activité (pces 28 et 48). En définitive, seul le Dr Muggli, spécialiste FMH en médecine interne, a émis une opinion différenciée, plus favorable à la recourante. On ne saurait toutefois raisonnablement lui donner préséance, du fait qu'il n'est ni psychiatre ni rhumatologue, la fiabilité de son appréciation médicale dans le cas d'espèce pouvant dès lors être remise en cause (arrêts du Tribunal fédéral 9C 341/07 du 16 novembre 2007 consid. 4.1, I 211/06 du 22 février 2007 consid. 5.4.1 et I 1098/06 du 29 novembre 2007 consid. 9.2). Il convient de relever, au surplus, que les derniers documents produits par la recourante, étant postérieures à la décision attaquée, ne doivent pas être examinés dans le cadre de la présente procédure (cf. ATF 121 V 366, 116 V 248). L'assurée a par ailleurs elle-même expressément admis, dans son écriture du 20 octobre 2010 (pce 24), que l'éventuelle incapacité liée à la coxarthrose ne serait apparue qu'en 2009. Il appartiendra, par conséquent, à la recourante, dans l'hypothèse où elle présenterait une invalidité relevante, de déposer alors une nouvelle demande de prestations auprès de l'assurance-invalidité. Eu égard à ce qui précède, il doit être admis, avec les médecins de la CRR et le service médical de l'autorité inférieure, que la recourante peut reprendre une activité lucrative, notamment son ancienne profession d'aide-soignante, avec une diminution de rendement de 25%.</w:t>
      </w:r>
    </w:p>
    <w:p>
      <w:r>
        <w:rPr>
          <w:b/>
        </w:rPr>
        <w:t>E. 11.3</w:t>
      </w:r>
    </w:p>
    <w:p>
      <w:r>
        <w:t>Comme l'a à bon droit relevé l'autorité inférieure, l'atteinte aux épaules ayant influé sur la capacité de travail de l'assurée est survenue en 1994, à un moment où elle exerçait à plein temps la profession d'aide-soignante. Aussi est-il patent que la recourante a le statut d'une personne active, qui aurait repris une activité lucrative si son état de santé le lui avait permis. La méthode générale de comparaison des revenus est dès lors applicable. La recourante présente dès lors une invalidité de 25% (comparaison en pour-cent; ATF 114 V 310 consid. 3a p. 313; ATF 104 V 135 consid. 2b p. 136 s.), taux insuffisant pour ouvrir le droit à une rente d'invalidité (art. 28 al. 1 LAI). Le recours du 18 août 2008 doit, partant, être rejeté.</w:t>
      </w:r>
    </w:p>
    <w:p>
      <w:r>
        <w:rPr>
          <w:b/>
        </w:rPr>
        <w:t>E. 12</w:t>
      </w:r>
    </w:p>
    <w:p>
      <w:r>
        <w:t>Les frais de procédure, fixés à Fr. 300.-, sont mis à la charge de la recourante (art. 63 al. 1 PA, applicable par le truchement de l'art. 37 LTAF). Ils sont compensés par l'avance de frais du même montant dont elle s'est acquittée au cours de l'instruction. Vu l'issue du litige, il n'est pas alloué d'indemnité de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