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C-5337/2013 vom 9. Oktober 2014</w:t>
      </w:r>
    </w:p>
    <w:p>
      <w:r>
        <w:t>Bundesverwaltungsgericht, 2014-10-09, FR</w:t>
      </w:r>
    </w:p>
    <w:p>
      <w:r>
        <w:rPr>
          <w:b/>
        </w:rPr>
        <w:t xml:space="preserve">Quelle: </w:t>
      </w:r>
      <w:r>
        <w:t>https://mcp.opencaselaw.ch/entscheid/bvger_C-5337_2013</w:t>
      </w:r>
    </w:p>
    <w:p>
      <w:r>
        <w:t>FR: TAF C-5337/2013 du 9 octobre 2014</w:t>
      </w:r>
    </w:p>
    <w:p>
      <w:r>
        <w:t>IT: TAF C-5337/2013 del 9 ottobre 2014</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l'ODM (cf. art. 33 let. d LTAF) sont susceptibles de recours au Tribunal, qui statue définitivement (cf. art. 1 al. 2 LTAF en relation avec l'art. 83 let. c ch. 2, 4 et 5 LTF).</w:t>
      </w:r>
    </w:p>
    <w:p>
      <w:r>
        <w:rPr>
          <w:b/>
        </w:rPr>
        <w:t>E. 1.2</w:t>
      </w:r>
    </w:p>
    <w:p>
      <w:r>
        <w:t>La procédure devant le Tribunal est régie par la PA, à moins que la LTAF n'en dispose autrement (cf. art. 37 LTAF, en relation avec l'art. 112 al. 1 LEtr).</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2013, n° 3.197). Aussi peut-elle admettre ou rejeter le pourvoi pour d'autres motifs que ceux invoqués. Dans son arrêt, elle prend en considération l'état de fait existant au moment où elle statue (cf. ATAF 2014/1 consid. 2).</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 Peter Uebersax, Einreise und Anwesenheit, in: Uebersax et al. [éd.], Ausländerrecht, 2009, p. 247 n° 7.84). Cette règle ne souffre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w:t>
      </w:r>
    </w:p>
    <w:p>
      <w:r>
        <w:rPr>
          <w:b/>
        </w:rPr>
        <w:t>E. 4.2</w:t>
      </w:r>
    </w:p>
    <w:p>
      <w:r>
        <w:t>En l'espèce, en vertu des règles de procédure précitées, la compétence décisionnelle appartient à la Confédération, et plus particulièrement à l'ODM ainsi qu'au Tribunal, en vertu de l'effet dévolutif du recours selon l'art. 54 PA (cf. ATAF 2010/55 consid. 4.1 à 4.4; cf. également ch. 1.3.2 des Directives et commentaires de l'ODM [version remaniée et unifiée du 25 octobre 2013], &lt; https://www.bfm.admin.ch/Publications &amp; service/Directives et circulaires/I. Domaine des étrangers/0 Bases légales/Directives/I. Domaine des étrangers, état au 4 juillet 2014, consultés en septembre 2014). Il s'ensuit que l'ODM et, a fortiori, le Tribunal ne sont pas liés par la décision de l'autorité cantonale compétente de délivrer au recourant une autorisation de séjour fondée sur l'art. 30 al. 1 let. b LEtr et peuvent donc parfaitement s'écarter de l'appréciation émise par cette autorité.</w:t>
      </w:r>
    </w:p>
    <w:p>
      <w:r>
        <w:rPr>
          <w:b/>
        </w:rPr>
        <w:t>E. 5.1</w:t>
      </w:r>
    </w:p>
    <w:p>
      <w:r>
        <w:t>A teneur de l'art. 30 al. 1 let. b LEtr, il est possible de déroger aux conditions d'admission (art. 18 à 29 LEtr)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Good/Bosshard, Abweichungen von den Zulassungs-voraussetzungen, in: Caroni et al. [éd.], Bundesgesetz über die Ausländerinnen und Ausländer [AuG], 2010, p. 226s. n° 2 et 3 ad art. 30 LEtr).</w:t>
      </w:r>
    </w:p>
    <w:p>
      <w:r>
        <w:rPr>
          <w:b/>
        </w:rPr>
        <w:t>E. 5.2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concernant la loi sur les étrangers du 8 mars 2002 [FF 2002 3469, spéc. p. 3543 ad art. 30] ; ATF 136 I 254 consid. 5.3.1; ATAF 2009/40 consid. 5 [sur la portée de l'art. 14 al. 2 let. c LAsi (RS 142.31)], spéc. consid. 5.2.2 ; Good/Bosshard, op. cit., p. 227s. n° 7 ad art. 30 LEtr).</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TAF C 636/2010 du 14 décembre 2010 [partiellement publié in : ATAF 2010/55] consid. 5.2 et 5.3 et la jurisprudence et doctrine citée ; ATAF 2009/40 consid. 6.2 ; Vuille/Schenk, L'article 14 alinéa 2 de la loi sur l'asile et la notion d'intégration, in : Cesla Amarelle [éd.], L'intégration des étrangers à l'épreuve du droit suisse,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TAF C 636/2010 consid. 5.3 ; Vuille/Schenk, op. cit., p. 114s., et la doctrine citée).</w:t>
      </w:r>
    </w:p>
    <w:p>
      <w:r>
        <w:rPr>
          <w:b/>
        </w:rPr>
        <w:t>E. 6</w:t>
      </w:r>
    </w:p>
    <w:p>
      <w:r>
        <w:t>En l'occurrence, A._______ a essentiellement invoqué la durée de son séjour en Suisse, son intégration socioprofessionnelle, ainsi que l'absence de tout lien avec son pays d'origine pour prétendre à l'octroi d'une autorisation de séjour en dérogation aux conditions d'admission en sa faveur.</w:t>
      </w:r>
    </w:p>
    <w:p>
      <w:r>
        <w:rPr>
          <w:b/>
        </w:rPr>
        <w:t>E. 6.1</w:t>
      </w:r>
    </w:p>
    <w:p>
      <w:r>
        <w:t>Le recourant est entré en Suisse en août 2001 et peut donc à ce jour se prévaloir d'un séjour sur le sol helvétique long de quelque 13 ans. Cependant, selon la jurisprudence applicable en la matière, le simple fait pour un étranger de séjourner en Suisse pendant de longues années ne permet pas d'admettre un cas personnel d'une extrême gravité (cf. ATAF 2007/16 consid. 7). Ceci vaut d'autant plus dans le cas particulier, dès lors que l'intéressé a d'abord vécu en Suisse de manière totalement illégale et que, depuis le dépôt de sa demande de régularisation, il ne demeure sur territoire helvétique qu'en vertu d'une simple tolérance cantonale, laquelle consiste en un statut à caractère provisoire et aléatoire (cf. ATAF 2007/45 consid. 6.3). Dans ces circonstances, le recourant ne saurait tirer parti de la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 Le Tribunal fédéral l'a encore rappelé dernièrement, dans un arrêt rendu à l'encontre d'un ressortissant d'origine kosovar, à l'instar de l'intéressé (cf. arrêt du TF 2C_457/2014 du 3 juin 2014 consid. 4.2).</w:t>
      </w:r>
    </w:p>
    <w:p>
      <w:r>
        <w:rPr>
          <w:b/>
        </w:rPr>
        <w:t>E. 6.2</w:t>
      </w:r>
    </w:p>
    <w:p>
      <w:r>
        <w:t>S'agissant de l'intégration professionnelle de A._______ en Suisse, le Tribunal constate que l'intéressé est engagé depuis 2001 chez le même employeur, où il a été formé comme palefrenier et employé agricole (cf. attestation du 6 janvier 2014). Quant à la situation financière du prénommé, il convient d'observer qu'il n'a jamais bénéficié des prestations de l'aide sociale et qu'il n'a en outre fait l'objet d'aucune poursuite pour dette pendant son séjour. Il apparaît ainsi que l'intéressé a démontré sa volonté de participer à la vie économique en Suisse et qu'il est financièrement autonome depuis son arrivée sur le territoire helvétique. Le parcours professionnel de l'intéressé n'a toutefois rien d'exceptionnel, si l'on tient compte de la durée de son séjour en Suisse. Force est ainsi de constater que, par l'emploi qu'il occupe, le prénommé n'a pas fait preuve d'une évolution professionnelle remarquable au sens de la jurisprudence et de la doctrine précitées (consid. 5.3 supra), ni acquis des connaissances ou qualifications spécifiques qu'il ne pourrait plus mettre en pratique ailleurs qu'en Suisse, notamment dans son pays d'origine. L'intégration professionnelle de l'intéressé, même si elle paraît réussie, ne saurait donc justifier, à elle seule, l'admission d'un cas de rigueur au sens de l'art. 30 al. 1 let. b LEtr.</w:t>
      </w:r>
    </w:p>
    <w:p>
      <w:r>
        <w:rPr>
          <w:b/>
        </w:rPr>
        <w:t>E. 6.3</w:t>
      </w:r>
    </w:p>
    <w:p>
      <w:r>
        <w:t>Sur un autre plan, le Tribunal n'ignore pas que les perspectives de travail offertes en Suisse sont plus attractives qu'au Kosovo. Il rappelle toutefois que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(ATAF 2007/44 consid. 5.3, ATAF 2007/45 consid. 7.6, ATAF 2007/16 consid. 10, et la jurisprudence citée), ce qui n'est pas le cas en l'espèce. Certes, l'intéressé a produit une attestation médicale, de laquelle il ressort pour l'essentiel qu'il souffre de lombalgies. Or, ainsi que l'a relevé l'ODM dans sa décision du 11 juillet 2013, exceptés des contrôles médicaux, il ne nécessite aucun traitement particulier, de sorte que les troubles avancés par l'intéressé ne sauraient justifier l'octroi d'une autorisation de séjour pour cas de rigueur.</w:t>
      </w:r>
    </w:p>
    <w:p>
      <w:r>
        <w:rPr>
          <w:b/>
        </w:rPr>
        <w:t>E. 6.4</w:t>
      </w:r>
    </w:p>
    <w:p>
      <w:r>
        <w:t>Quant aux possibilités de réintégration du recourant dans son pays d'origine au sens de l'art. 31 al. 1 let. g OASA, il importe de noter que A._______ a passé son enfance, son adolescence et les premières années de sa vie d'adulte au Kosovo, où il a notamment effectué l'école obligatoire et puis travaillé avec son père en gardant des animaux et en particulier des chevaux. Le Tribunal ne saurait admettre que ces années soient moins déterminantes pour la formation de la personnalité et, partant, pour l'intégration socioculturelle, que le séjour du recourant en Suisse (cf. ATF 123 II 125 consid. 5b/aa). Il n'est en effet pas concevable que son pays lui soit devenu à ce point étranger qu'il ne serait plus en mesure, après une période de réadaptation, d'y retrouver ses repères. A ce propos, le Tribunal relève également que ses parents, ses frères et soeurs, ses enfants et son épouse (de laquelle il a déclaré être séparé) résident au Kosovo et que le recourant a maintenu des contacts réguliers avec sa famille durant son séjour en Suisse, à preuve les dates de naissance de ses enfants (2002, 2005 et 2009). Le recourant dispose par conséquent d'attaches familiales susceptibles de faciliter son retour au Kosovo. Certes, le Tribunal est conscient que le recourant se heurtera à des difficultés de réintégration dans son pays d'origine, notamment en raison de sa longue absence et des attaches qu'il s'est créées en Suisse. L'intéressé n'a toutefois pas établi que les difficultés qu'il pourrait ainsi rencontrer seraient plus graves pour lui que pour n'importe lequel de ses concitoyens qui se trouverait dans la même situation. Enfin, c'est ici le lieu de rappeler que la situation économique prévalant au Kosovo ne saurait constituer un élément justifiant l'octroi d'une autorisation de séjour en faveur du prénommé, dans la mesure où elle ne l'affecte pas plus que ses compatriotes et ne saurait donc être constitutive d'une situation de détresse personnelle.</w:t>
      </w:r>
    </w:p>
    <w:p>
      <w:r>
        <w:rPr>
          <w:b/>
        </w:rPr>
        <w:t>E. 6.5</w:t>
      </w:r>
    </w:p>
    <w:p>
      <w:r>
        <w:t>Dans son mémoire de recours du 16 septembre 2013, l'intéressé a également invoqué une violation du principe de l'égalité de traitement dès lors qu'il aurait pu constater qu'à plusieurs reprises, l'ODM avait accordé des autorisations de séjour à des cas similaires au sien, voire même dans des cas où toutes les conditions légales n'étaient pas remplies. Aussi, il a requis la production de statistiques relatives aux autorisations de séjour délivrées dans des cas de rigueur au cours des trois dernières années, par catégories d'âge, de nationalité et de situation familiale.</w:t>
      </w:r>
    </w:p>
    <w:p>
      <w:r>
        <w:rPr>
          <w:b/>
        </w:rPr>
        <w:t>E. 6.5.1</w:t>
      </w:r>
    </w:p>
    <w:p>
      <w:r>
        <w:t>Le principe de l'égalité de traitement consacré à l'art. 8 al. 1 Cst. exige que la loi elle-même et les décisions d'application de la loi traitent de façon égale des choses égales et de façon différente des choses différentes. Ainsi,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sur cette question notamment ATF 136 II 120 consid. 3.3.2 et 131 I 394 consid. 4.2; voir également les ATAF 2010/53 consid. 12.1, 2010/6 consid. 4.1, 2009/32 consid. 5.1 et réf. citées).</w:t>
      </w:r>
    </w:p>
    <w:p>
      <w:r>
        <w:rPr>
          <w:b/>
        </w:rPr>
        <w:t>E. 6.5.2</w:t>
      </w:r>
    </w:p>
    <w:p>
      <w:r>
        <w:t>En l'espèce, le Tribunal observe, à l'instar de l'ODM, que l'intéressé n'a nullement étayé son propos. A cela s'ajoute le fait qu'il s'agit ici d'un domaine où il est très difficile de faire des comparaisons, les particularités du cas d'espèce étant déterminantes dans l'appréciation d'un éventuel cas de rigueur (cf. arrêt du TF 2A.305/2006 du 2 août 2006 consid. 5.3, arrêt du TAF C-198/2006 du 26 juillet 2007 consid. 8.3). Enfin, comme rappelé au point 5.1 ci-dessus, l'art. 30 al. 1 let. b LEtr est rédigé en la forme potestative de sorte que l'étranger n'a aucun droit à l'octroi d'une dérogation aux conditions d'admission pour cas individuel d'une extrême gravité et, partant, à l'octroi d'une autorisation de séjour fondée sur cette disposition. Pour les mêmes raisons, l'autorité de décision n'est pas liée par la proposition de l'autorité cantonale compétente de délivrer au recourant une autorisation de séjour fondée sur l'art. 30 al. 1 let. b LEtr et peut donc parfaitement s'écarter de l'appréciation émise par cette autorité (cf. point 4.2 ci-dessus). Par ailleurs, ainsi que l'a relevé l'ODM dans son préavis du 8 novembre 2013, il est très difficile de faire des comparaisons dans ce domaine, compte tenu du fait que les particularités de chaque cas sont déterminantes dans l'appréciation et la reconnaissance d'un éventuel cas de rigueur. Aussi, dans ces circonstances, il convient donc de ne pas donner suite à la requête de l'intéressé. Cela étant, au vu de ces explications, c'est donc en vain que le recourant invoque une violation du principe de l'égalité de traitement.</w:t>
      </w:r>
    </w:p>
    <w:p>
      <w:r>
        <w:rPr>
          <w:b/>
        </w:rPr>
        <w:t>E. 6.6</w:t>
      </w:r>
    </w:p>
    <w:p>
      <w:r>
        <w:t>Partant, au terme d'une appréciation de l'ensemble des circonstances afférentes à la présente cause, le Tribunal, à l'instar de l'autorité de première instance, parvient à la conclusion que la situation du recourant, envisagée dans sa globalité, n'est pas constitutive d'une situation d'extrême gravité au sens de l'art. 30 al. 1 let. b LEtr. C'est donc à juste titre que l'autorité inférieure a refusé de donner son aval à la délivrance, en faveur de A._______, d'une autorisation de séjour fondée sur la disposition précitée.</w:t>
      </w:r>
    </w:p>
    <w:p>
      <w:r>
        <w:rPr>
          <w:b/>
        </w:rPr>
        <w:t>E. 7</w:t>
      </w:r>
    </w:p>
    <w:p>
      <w:r>
        <w:t>Le recourant n'obtenant pas d'autorisation de séjour en Suisse, c'est également à bon droit que l'autorité inférieure a prononcé son renvoi, conformément à l'art. 64 al. 1 let. c LEtr. Par ailleurs, l'intéressé n'invoque pas et, a fortiori, ne démontre pas l'existence d'obstacles à son retour au Kosovo et le dossier ne fait pas non plus apparaître que l'exécution de ce renvoi serait impossible, illicite ou inexigible au sens de l'art. 83 al. 2 à 4 LEtr, de sorte que c'est à juste titre que l'ODM a ordonné l'exécution de cette mesure.</w:t>
      </w:r>
    </w:p>
    <w:p>
      <w:r>
        <w:rPr>
          <w:b/>
        </w:rPr>
        <w:t>E. 8</w:t>
      </w:r>
    </w:p>
    <w:p>
      <w:r>
        <w:t>En conclusion, la décision du 11 juillet 2013 est conforme au droit. Le recours est en conséquence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