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C-5334/2007 vom 18. Juli 2008</w:t>
      </w:r>
    </w:p>
    <w:p>
      <w:r>
        <w:t>Bundesverwaltungsgericht, 2008-07-18, DE</w:t>
      </w:r>
    </w:p>
    <w:p>
      <w:r>
        <w:rPr>
          <w:b/>
        </w:rPr>
        <w:t xml:space="preserve">Quelle: </w:t>
      </w:r>
      <w:r>
        <w:t>https://mcp.opencaselaw.ch/entscheid/bvger_C-5334_2007</w:t>
      </w:r>
    </w:p>
    <w:p>
      <w:r>
        <w:t>FR: TAF C-5334/2007 du 18 juillet 2008</w:t>
      </w:r>
    </w:p>
    <w:p>
      <w:r>
        <w:t>IT: TAF C-5334/2007 del 18 luglio 2008</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Abs. 1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parlamentarische Versammlung hat am 17. Februar 2008 die Unabhängigkeit des Kosovo erklärt. Am 27. Februar 2008 anerkannte die Schweiz den Kosovo als selbständigen Staat. Wie die internationale Staatengemeinschaft mit dieser neuen Lage umgehen wird, ist allerdings noch weitgehend ungewiss. Auf die wirtschaftliche und soziale Lage, in der sich die Bevölkerung befindet, dürfte der Schritt in die politische Unabhängigkeit nach Einschätzung von Fachleuten jedenfalls kurz- und mittelfristig keine spürbaren Auswirkungen haben. Tatsache ist, dass es bisher trotz grosser internationaler Unterstützung nicht gelungen ist,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bei 37% (mit steigender Tendenz). Der Zuwanderungsdruck aus dieser Region ist dementsprechend hoch, was sich unter anderem in der schweizerischen Asylstatistik widerspiegelt. So stammten im Jahr 2007 9.2% der Asylsuchenden aus dem Gebiet von Serbien und Kosovo. Unter den Migrationswilligen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41-jährige, unverheiratete Frau. Gemäss den Angaben der Beschwerdeführerin lebt sie in familiärer Gemeinschaft mit den Eltern, zwei verheirateten Brüdern und deren Familien sowie einem weiteren, unverheirateten Bruder. Ihr Verlobter sei im Kosovo-Krieg ums Leben gekommen. Im Sinne einer besonderen Verpflichtung habe sie Betreuungsaufgaben gegenüber den Eltern wahrzunehmen. Worin genau diese Aufgaben bestehen, wie intensiv sie sind und wer ausser der Gesuchstellerin dafür sonst noch in Frage kommt, darüber äusserte sich die Beschwerdeführerin nicht. Eine Erheblichkeit dieser Aufgabe im Zusammenhang mit der Risikoeinschätzung muss aber schon deshalb relativiert werden, weil die Gesuchstellerin für volle drei Monate in die Schweiz reisen möchte, und die - wie auch immer ausgestaltete - Betreuung der Eltern in dieser Zeit erklärtermassen von anderen Familienmitgliedern übernommen würde. Insgesamt sind somit bei der Gesuchstellerin in familiärer Hinsicht keine zwingenden Verpflichtungen erkennbar, welche die Prognose einer fristgerechten Wiederausreise begünstigen könnten.</w:t>
      </w:r>
    </w:p>
    <w:p>
      <w:r>
        <w:rPr>
          <w:b/>
        </w:rPr>
        <w:t>E. 5.3</w:t>
      </w:r>
    </w:p>
    <w:p>
      <w:r>
        <w:t>In wirtschaftlicher Hinsicht fällt auf, dass die Gesuchstellerin in ihrem Wirkungsfeld auf den familiären Haushalt beschränkt ist und somit kein eigenes Einkommen erwirtschaften kann. Solchermassen ist sie von ihrer Familie abhängig und dürfte in der angestammten Umgebung auf lange Frist keine reellen Chancen haben, eine (von der Familie unabhängige) finanzielle Selbständigkeit zu verwirklichen.</w:t>
      </w:r>
    </w:p>
    <w:p>
      <w:r>
        <w:rPr>
          <w:b/>
        </w:rPr>
        <w:t>E. 5.4</w:t>
      </w:r>
    </w:p>
    <w:p>
      <w:r>
        <w:t>Kommt hinzu, dass die Familie der Gesuchstellerin bereits einen gewissen Migrationshintergrund hat. Zwei ihrer Brüder leben in der Schweiz und es ist grundsätzlich nicht auszuschliessen, dass die Gesuchstellerin versucht sein könnte, es ihnen gleich zu tun.</w:t>
      </w:r>
    </w:p>
    <w:p>
      <w:r>
        <w:rPr>
          <w:b/>
        </w:rPr>
        <w:t>E. 5.5</w:t>
      </w:r>
    </w:p>
    <w:p>
      <w:r>
        <w:t>Vor dem aufgezeigten persönlichen und allgemeinen Hintergrund durfte die Vorinstanz demnach davon ausgehen, dass keine hinreichende Gewähr für eine fristgerechte und anstandslose Wiederausreise nach einem Besuchsaufenthalt besteht. An dieser Beurteilung vermögen die Zusicherungen der Beschwerdeführerin nichts zu ändern. Sicherlich ist an deren Integrität in ihrer Eigenschaft als Gastgeberin nicht zu zweifeln. Bei der Abwägung des Risikos einer nicht fristgerechten Wiederausreise ist aber nicht so sehr die Einstellung beziehungsweise Absicht der Gastgeberin, sondern in erster Linie das mögliche Verhalten des Gastes selbst von Bedeutung. Nur Letzterer ist in der Lage, hinreichend Gewähr für eine fristgerechte und anstandslose Wiederausreise zu bieten. Als Gastgeberin kann die Beschwerdeführerin zwar für gewisse finanzielle Risiken im Zusammenhang mit dem Besuchsaufenthalt, aus nahe liegenden Gründen aber nicht für ein bestimmtes Verhalten ihres Gastes garantieren.</w:t>
      </w:r>
    </w:p>
    <w:p>
      <w:r>
        <w:rPr>
          <w:b/>
        </w:rPr>
        <w:t>E. 5.6</w:t>
      </w:r>
    </w:p>
    <w:p>
      <w:r>
        <w:t>Die Beschwerdeführerin beanstandet andeutungsweise eine rechtsungleiche Behandlung. Sie wisse von andern Fällen, in denen "weniger vorhanden" gewesen und es trotzdem zu einer Bewilligung gekommen sei. Erweist sich die Verfügung - wie vorstehend ausgeführt - als rechtmässig, so kann es bei diesem Einwand nur um Geltendmachung eines Anspruchs auf Gleichbehandlung im Unrecht gehen. Ein solcher Anspruch besteht jedoch in der Regel nicht. Anders verhält es sich nur dann, wenn eine ständige gesetzwidrige Praxis besteht, die auch in Zukunft aufrecht erhalten werden soll und die nur im Falle des Betroffenen eine Ausnahme erfährt. Eine solche Konstellation wird zwar von der Beschwerdeführerin sinngemäss behauptet, sie kann aber - mangels substantiierter und überprüfbarer Angaben zu den angeblichen Vergleichsfällen - nicht als erstellt betrachtet werden (vgl. zum Ganzen BGE 127 I 1 E. 3a S. 3, Urteil des Bundesverwaltungsgerichts C-2763/2007 vom 1. Juli 2008 mit weiteren Quellenangaben).</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die unterliegende Beschwerdeführerin kostenpflichtig (Art. 63 Abs. 1 VwVG, Art. 1, 2 und 3 Bst. b des Reglements vom 21. Februar 2008 über die Kosten und Entschädigungen vor dem Bundesverwaltungsgericht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