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C-5331/2010 vom 23. August 2011</w:t>
      </w:r>
    </w:p>
    <w:p>
      <w:r>
        <w:t>Bundesverwaltungsgericht, 2011-08-23, IT</w:t>
      </w:r>
    </w:p>
    <w:p>
      <w:r>
        <w:rPr>
          <w:b/>
        </w:rPr>
        <w:t xml:space="preserve">Quelle: </w:t>
      </w:r>
      <w:r>
        <w:t>https://mcp.opencaselaw.ch/entscheid/bvger_C-5331_2010</w:t>
      </w:r>
    </w:p>
    <w:p>
      <w:r>
        <w:t>FR: TAF C-5331/2010 du 23 août 2011</w:t>
      </w:r>
    </w:p>
    <w:p>
      <w:r>
        <w:t>IT: TAF C-5331/2010 del 23 agosto 2011</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1.2</w:t>
      </w:r>
    </w:p>
    <w:p>
      <w:r>
        <w:t>L'Ufficio AI cantonale è competente per trattare l'esame delle richieste. L'Autorità inferiore è competente per notificare l'impugnata decisione (art. 40 cpv. 2 OAI).</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di attesa di un anno a condizione che la domanda di rendita sia stata presentata entro e non oltre il 31 dicembre 2008 (cfr. consid. 7.3).</w:t>
      </w:r>
    </w:p>
    <w:p>
      <w:r>
        <w:rPr>
          <w:b/>
        </w:rPr>
        <w:t>E. 5</w:t>
      </w:r>
    </w:p>
    <w:p>
      <w:r>
        <w:t>La ricorrente ha presentato la domanda di rendita il 7 marzo 2008. In deroga all'art. 24 LPGA, l'art. 48 cpv. 2 LAI (nel suo tenore in vigore fino al 31 dicembre 2007) precisa che, se l'assicurato si annuncia più di 12 mesi dopo la nascita del diritto, le prestazioni possono essere assegnate soltanto per i 12 mesi precedenti la richiesta. In concreto, lo scrivente Tribunale amministrativo federale può limitarsi ad esaminare se la ricorrente avesse diritto ad una rendita il 7 marzo 2007 (ossia 12 mesi precedenti la presentazione della domanda), oppure se un diritto alla rendita sia sorto tra tale data ed il 15 giugno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 8.1. Come risulta dal questionario compilato dall'ex datore di lavoro, l'interessata non ha più lavorato dopo il 25 agosto 2006, a causa di un infortunio. 8.2. La nozione d'invalidità di cui all'art. 4 LAI e 8 LPGA è di carattere giuridico economico, non medico (DTF 116 V 249 consid. 1b). In base all'art. 16 LPGA, applicabile per il rinvio dell'art. 28 cpv. 2 LAI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8.3.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w:t>
      </w:r>
    </w:p>
    <w:p>
      <w:r>
        <w:t>L'esame effettuato presso il SMR di Bellinzona tiene in considerazione sia gli esiti dell'infortunio subito nell'agosto 2006 che il danno extra-infortunistico (di origine ortopedica/reumatologica e di carattere psichico). I sanitari del SMR (Dott. Posa, internista, Dott.ssa Uslenghi, psichiatra) hanno rilevato: esiti di lesione della fibrocartilagine triangolare e parzialmente del legamento scafo-ulnare dorsale del polso destro, trattata conservativamente, artrosi dell'articolazione AC a destra, tendinosi del sovra ed infraspinato spalla destra senza lesioni strutturali, gonalgia destra ricorrente, lombalgia ricorrente su alterazioni degenerative multi segmentali lombosacrali; elaborazione dei sintomi fisici per ragioni psicologiche. La documentazione medica esibita in sede di audizione e di ricorso non pone in evidenza ulteriori turbe di rilievo. Si tratta, più che altro, di un diverso approccio diagnostico delle patologie in corso. Segnatamente, il Dott. Enrico (rapporto del 5 marzo 2010) precisa che al livello del ginocchio destro il dolore è da imputare ad una frattura composta della rotula (cfr. anche rapporto del Dott. Mentasti del 29 aprile 2010, referto RM della spalla e del ginocchio destro). Giova ricordare che le affezioni in oggetto debbono, dal profilo giuridico, essere esaminate alla luce dell'art. 29 cpv. 1 lett. b LAI (nelle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In primo luogo va rilevato che non è contestato il riconoscimento del diritto alla rendita intera AI dal 1° agosto 2007, ossia un anno dopo l'infortunio. L'oggetto della lite si configura invece nella soppressione del diritto alla rendita intera dal 1° ottobre 2009. Si tratta dunque di una rendita limitata nel tempo le cui regole per la sua eventuale soppressione o diminuzione sono state enunciate al considerando 7.5.</w:t>
      </w:r>
    </w:p>
    <w:p>
      <w:r>
        <w:rPr>
          <w:b/>
        </w:rPr>
        <w:t>E. 10.2</w:t>
      </w:r>
    </w:p>
    <w:p>
      <w:r>
        <w:t>Questo caso assicurativo presenta una patologia invalidante di origine infortunistica, ma anche degli elementi che esulano dalle conseguenze dell'infortunio dell'agosto 2006. In proposito può essere osservato che il Tribunale federale delle assicurazioni aveva a suo tempo disposto delle regole circa l'uniformità della nozione d'invalidità nel campo delle assicurazioni sociali, precisando che la valutazione in ambito AI non vincolava l'assicuratore infortuni (DTF 131 V 362 consid. 2.3). Il Tribunale federale, dal canto suo, ha ammesso la reciprocità di questa regola nei confronti dell'assicurazione invalidità nel senso che questa non è legata dalla valutazione dell'assicuratore infortuni ai sensi del DTF 126 V 288. Di conseguenza, per esempio, l'Ufficio AI non ha facoltà di formulare opposizione (o ricorso) contro una decisione dell'assicuratore infortuni concernente il diritto alla rendita o la determinazione del tasso d'invalidità (DTF 133 V 549). La valutazione dell'invalidità è dunque indipendente nei due rami d'assicurazione (cfr. anche sentenza del Tribunale federale 8C_558/2008 del 17 marzo 2009 consid. 2.3). Questa indipendenza nel decidere non significa che le perizie effettuate nei due rami assicurativi debbano essere utilizzate dalla sola assicurazione che ha ordinato una tale indagine quando, per esempio, l'analisi dell'invalidità è stata ricercata in modo globale e non settoriale e che una determinata perizia non si sia limitata al mero aspetto del rapporto di causalità fra incidente subito e danno alla salute, aspetto questo caratteristico della sola assicurazione contro gli infortuni (cfr. Alfred Maurer/Gustavo Scartazzini/Marc Hürzeler, Bundessozialversicherungsrecht, 3a ed., Basilea 2009, § 10 n° 39 e seg.).</w:t>
      </w:r>
    </w:p>
    <w:p>
      <w:r>
        <w:rPr>
          <w:b/>
        </w:rPr>
        <w:t>E. 10.3</w:t>
      </w:r>
    </w:p>
    <w:p>
      <w:r>
        <w:t>Visto che l'assicurata presentava anche delle turbe non infortunistiche che avrebbero potuto influire sulla determinazione del grado d'invalidità, l'Ufficio AI del Cantone Ticino ha ritenuto utile far eseguire una perizia bi-disciplinare (ortopedia e psichiatria) presso il SMR. L'amministrazione ha quindi rinunciato, contrariamente a quanto sembra sostenere la parte ricorrente, a traslare le risultanze dell'assicuratore infortuni nell'ambito AI. L'Ufficio AI, procedendo ad una verifica medica propria, ha quindi esaminato tutto il complesso patologico affliggente l'assicurata.</w:t>
      </w:r>
    </w:p>
    <w:p>
      <w:r>
        <w:rPr>
          <w:b/>
        </w:rPr>
        <w:t>E. 11.1</w:t>
      </w:r>
    </w:p>
    <w:p>
      <w:r>
        <w:t>La perizia del SMR ha ritenuto che A._______ è in grado di svolgere ancora il suo precedente lavoro in misura del 70% mentre in attività leggere e/o semisedentarie in misura del 100%. Anche il Dott. Capeder, per conto dell'INSAI/SUVA, nella visita di chiusura del 28 maggio 2009, aveva stimato che l'assicurata poteva riprendere a tempo completo un'attività leggera.</w:t>
      </w:r>
    </w:p>
    <w:p>
      <w:r>
        <w:rPr>
          <w:b/>
        </w:rPr>
        <w:t>E. 11.2.1</w:t>
      </w:r>
    </w:p>
    <w:p>
      <w:r>
        <w:t>Dal punto di vista ortopedico, la paziente presenta delle limitazioni funzionali così riassumibili. Essa deve evitare la posizione statica del braccio destro al disopra del piano orizzontale, evitare la forza di presa prolungata con la mano destra, evitare l'utilizzo di attrezzi vibranti con la mano destra, evitare la presa a pinza con la mano destra, evitare movimenti ripetitivi di flessione, estensione e rotazione della schiena; può alzare pesi abitualmente fino a 5 kg. Questo è quanto scaturisce dall'indagine al SMR. Va ora rilevato che le limitazioni spiegate invece dal Dott. Enrico (cfr. p. es. la perizia del 5 marzo 2010 e quella successiva del 21 giugno 2010) non sono così differenti da quelle evidenziate dal SMR. Si può osservare che la descrizione del Dott. Enrico è più teorica in quanto utilizza le espressioni ridotta/leggermente ridotta ecc., ma a ben guardare (perizia pag. 2 e 3) l'esperto di parte non descrive un quadro di limitazione assoluta od una situazione che escluderebbe la ripresa di un'attività leggera.</w:t>
      </w:r>
    </w:p>
    <w:p>
      <w:r>
        <w:rPr>
          <w:b/>
        </w:rPr>
        <w:t>E. 11.2.2</w:t>
      </w:r>
    </w:p>
    <w:p>
      <w:r>
        <w:t>Occorre precisare che questo collegio giudicante esclude, contrariamente alle conclusioni del SMR, che Maria Concetta Guarasci-Busa possa riprendere, seppur al 70%, il precedente lavoro di donna addetta alle pulizie. Tale lavoro implica sforzi e soprattutto posizioni non indicate e che contrastano con le limitazioni descritte sia dal Dott. Posa che dal Dott. Enrico. Si può invece condividere il parere che, osservate le limitazioni descritte, la nominata, sotto il profilo ortopedico/reumatologico è da considerarsi abile a un lavoro leggero, semisedentario in misura completa. Pertanto, per quanto riguarda la patologia ortopedica, le conclusioni dell'Ufficio AI corrispondono a quelle poste in risalto dall'INSAI/SUVA (Dott. Capeder).</w:t>
      </w:r>
    </w:p>
    <w:p>
      <w:r>
        <w:rPr>
          <w:b/>
        </w:rPr>
        <w:t>E. 11.3</w:t>
      </w:r>
    </w:p>
    <w:p>
      <w:r>
        <w:t>Dal lato psichiatrico non sussistono patologie invalidanti. L'esperto (Dott.ssa Uslenghi, psichiatra) ha rilevato solo un'elaborazione di sintomi fisici per ragioni psicologiche. Si tratta, osserva il medico, di una sindrome plurifattoriale di entità non grave che non causa invalidità in ambito lavorativo. Peraltro, la sintomatologia dolorosa presentata non è associata ad una comorbidità psichica di notevole gravità, intensità e durata, ciò che esclude la presenza di sindrome da dolore somatoforme invalidante. Dall'esame dunque non emergono elementi clinici che indirizzino verso una diagnosi di disturbi psichiatrici maggiori secondo la classificazione internazionale. Peraltro, l'interessata non segue alcuna cura farmacologica specifica (a parte occasionalmente un induttore del sonno), come neppure alcuna psicoterapia.</w:t>
      </w:r>
    </w:p>
    <w:p>
      <w:r>
        <w:rPr>
          <w:b/>
        </w:rPr>
        <w:t>E. 11.4</w:t>
      </w:r>
    </w:p>
    <w:p>
      <w:r>
        <w:t>Per il resto, la nominata si presenta in buone condizioni generali di salute, seppur con un certo sovrappeso. L'anamnesi ricorda diversi problemi cardiocircolatori non gravi, tutti risolti positivamente e privi di sequele invalidanti.</w:t>
      </w:r>
    </w:p>
    <w:p>
      <w:r>
        <w:rPr>
          <w:b/>
        </w:rPr>
        <w:t>E. 12.1</w:t>
      </w:r>
    </w:p>
    <w:p>
      <w:r>
        <w:t>Alla luce di queste considerazioni, questo collegio giudicante può condividere il parere del SMR almeno per quanto riguarda le attività di sostituzione, che sarebbero esigibili al 100%, rispettose dei limiti indicati nei considerandi precedenti. A partire, al più tardi, dal rapporto del Dott. Capeder (visita di chiusura dell'INSAI/SUVA del 28 maggio 2009), l'assicurata sarebbe stata in grado di svolgere, al cento per cento, attività di sostituzione adeguate. L'indagine propria dell'AI non ha fatto che confermare le risultanze dell'assicuratore infortuni. Pertanto il riferimento temporale alla visita di chiusura, per fissare la data di miglioramento delle condizioni di salute e della capacità di lavoro di A._______, appare tutelabile. A queste conclusioni giungono anche i medici dell'Ufficio AI consultati in sede di audizione e di ricorso (Dott.ri Klauser ed Erba).</w:t>
      </w:r>
    </w:p>
    <w:p>
      <w:r>
        <w:rPr>
          <w:b/>
        </w:rPr>
        <w:t>E. 12.2</w:t>
      </w:r>
    </w:p>
    <w:p>
      <w:r>
        <w:t>La gamma di attività offerte alla ricorrente sono molteplici e rispettano i limiti funzionali menzionati dai sanitari consultati. Come rilevato nel rapporto del CIP del 23 marzo 2010, la nominata, priva di formazione professionale specifica e con la sola formazione scolastica elementare (cfr. formulario di domanda e indagine del CIP), potrebbe svolgere lavori semplici, non qualificati, ripetitivi (operaia generica nell'industria come addetta al controllo di macchine di produzione automatica, operaia addetta all'imballaggio, impiegata nel terziario come custode, fattorina in ditta privata, sorvegliante, autista su mezzi leggeri, commessa in gradi punti di vendita, barista al banco o in piccolo esercizio). Va disatteso il rapporto del CIP quando menziona lavori di rifinitura e di riparazione, l'assicurata essendo sensibilmente limitata nell'utilizzo della mano, polso e in generale, dell'arto superiore destro. La maggior parte di questo posti non richiede comunque una lunga formazione, ma solo un breve periodo di introduzione.</w:t>
      </w:r>
    </w:p>
    <w:p>
      <w:r>
        <w:rPr>
          <w:b/>
        </w:rPr>
        <w:t>E. 12.3</w:t>
      </w:r>
    </w:p>
    <w:p>
      <w:r>
        <w:t>Vero è che la ricerca di un posto di lavoro adatto alle capacità dell'interessata appare difficoltosa, vista la sua età e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13.1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13.2</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Si deve tuttavia rilevare che, a mente della giurisprudenza (DTF 128 V 174 e 129 V 222), il salario determinante è di regola quello versato al momento dell'insorgere dell'invalidità o, nel caso di una rendita limitata nel tempo, quello della modifica della prestazione. Nella specie, si tratta di una rendita limitata nel tempo soppressa nel 2009; l'amministrazione ha ritenuto i dati a lei disponibili del 2008. Atteso che tale circostanza è, in pratica, poco rilevante sul risultato finale, possono essere ritenuti i dati del 2008. Il salario da valido determinante nella fattispecie ammonterebbe a Fr 44'597.- (si tratta degli introiti sommati dei due datori di lavoro, aggiornati al 2008).</w:t>
      </w:r>
    </w:p>
    <w:p>
      <w:r>
        <w:rPr>
          <w:b/>
        </w:rPr>
        <w:t>E. 13.3</w:t>
      </w:r>
    </w:p>
    <w:p>
      <w:r>
        <w:t>Anche se l'insorgente non lo fa valere, si deve esaminare se questo salario sia inferiore alla media dei salari percepiti nel settore delle pulizie, differenza che la penalizzerebbe nel raffronto dei redditi. Ora, la differenza tra il salario realmente percepito e quello medio del settore è irrilevante ai fini del risultato della presente procedura. Il salario mensile statistico nel settore (pulizie, manutenzione) era nel 2008 di Fr. 3'465.- per un lavoratore (donna) senza formazione (dati dell'Ufficio federale di statistica, Tabella TA1, livello 4). Il salario annuale ammontava quindi a Fr. 41'580.-. Tenendo conto di una durata lavorativa settimanale di 41.7 ore (invece delle 40 ore in base alle quali sono elaborate le statistiche), si ottiene un importo di Fr. 43'347.-. Ne consegue che l'assicurata non si collocava nella categoria di lavoratori dipendenti che percepiscono, nel loro settore, dei salari sensibilmente inferiori alla media (per ragioni non imputabili a malattia o scelta personale) e che meriterebbero l'applicazione di un metodo di calcolo speciale (parallelismo dei redditi).</w:t>
      </w:r>
    </w:p>
    <w:p>
      <w:r>
        <w:rPr>
          <w:b/>
        </w:rPr>
        <w:t>E. 13.4</w:t>
      </w:r>
    </w:p>
    <w:p>
      <w:r>
        <w:t>Quale reddito da invalido l'Ufficio AI cantonale ha ritenuto quello ottenibile in attività di tipo leggero non qualificate e ripetitive. Solo i valori nazionali (statistiche UFS) sono applicabili (tabella TA1, livello 4, donne). Queste attività comportano un salario medio mensile di Fr. 4'116.- (annuo di 49'392.-) nel 2008. Tenuto conto che le statistiche sono stilate su una base oraria di 40 ore settimanali invece delle 41.6 ore del settore, si deve procedere ad un adeguamento che porta il salario da invalido a Fr. 51'368.-.</w:t>
      </w:r>
    </w:p>
    <w:p>
      <w:r>
        <w:rPr>
          <w:b/>
        </w:rPr>
        <w:t>E. 13.5</w:t>
      </w:r>
    </w:p>
    <w:p>
      <w:r>
        <w:t>Questo introito teorico può essere ridotto per tenere conto dei fattori personali dell'assicurato (DTF 126 V 75), quali età, handicap. L'amministrazione ha operato una deduzione complessiva del 18%, ciò che può essere condiviso. Deve essere aggiunto che nell'ambito dell'applicazione di tale riduzione per fattori personali, l'amministrazione gode di un'ampia autonomia di giudizio che il giudice può rivedere soli in casi particolari (ATF 137 V 71 consid. 5.2). Ora, l'applicazione della riduzione massima non appare giustificata dal momento che nel 2008 (anno di riferimento del calcolo) l'assicurata aveva 55 anni e l'handicap fisico è limitato, praticamente, ai problemi all'arto superiore destro e meno alle altre articolazioni. Ne consegue dunque un introito dopo l'insorgenza dell'invalidità di Fr. 42'121.-.</w:t>
      </w:r>
    </w:p>
    <w:p>
      <w:r>
        <w:rPr>
          <w:b/>
        </w:rPr>
        <w:t>E. 13.6</w:t>
      </w:r>
    </w:p>
    <w:p>
      <w:r>
        <w:t>Il confronto fra un reddito privo d'invalidità di Fr. 44'597.- ed un introito teorico dopo l'insorgenza dell'invalidità di Fr. 42'121.-, causa una perdita di guadagno del 6%, tasso che esclude il riconoscimento del diritto a una rendita dell'assicurazione svizzera per l'invalidità. Anche nell'ipotesi in cui si dovesse ammettere la riduzione massima consentita (25% invece del 18%), la perdita di guadagno non raggiungerebbe il 40%. È quindi a ragione che l'autorità inferiore ha soppresso la rendita intera d'invalidità con effetto dal 30 settembre 2009, ossia persino più di tre mesi dopo il miglioramento (visita di chiusura dell'INSAI/SUVA del 28 maggio 2009), in applicazione dell'art. 88a cpv. 1 OAI.</w:t>
      </w:r>
    </w:p>
    <w:p>
      <w:r>
        <w:rPr>
          <w:b/>
        </w:rPr>
        <w:t>E. 14.1</w:t>
      </w:r>
    </w:p>
    <w:p>
      <w:r>
        <w:t>In queste circostanze il ricorso deve essere respinto e l'impugnata decisione confermata.</w:t>
      </w:r>
    </w:p>
    <w:p>
      <w:r>
        <w:rPr>
          <w:b/>
        </w:rPr>
        <w:t>E. 14.2</w:t>
      </w:r>
    </w:p>
    <w:p>
      <w:r>
        <w:t>A titolo di spese processuali si prelevano Fr. 300.-, che vengono compensate con l'anticipo di uguale importo versato dalla ricorrente il 20 dicembre 2010.</w:t>
      </w:r>
    </w:p>
    <w:p>
      <w:r>
        <w:rPr>
          <w:b/>
        </w:rPr>
        <w:t>E. 14.3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nella cause dinanzi il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