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C-532/2015 vom 5. Januar 2018</w:t>
      </w:r>
    </w:p>
    <w:p>
      <w:r>
        <w:t>Bundesverwaltungsgericht, 2018-01-05, FR</w:t>
      </w:r>
    </w:p>
    <w:p>
      <w:r>
        <w:rPr>
          <w:b/>
        </w:rPr>
        <w:t xml:space="preserve">Quelle: </w:t>
      </w:r>
      <w:r>
        <w:t>https://mcp.opencaselaw.ch/entscheid/bvger_C-532_2015</w:t>
      </w:r>
    </w:p>
    <w:p>
      <w:r>
        <w:t>FR: TAF C-532/2015 du 5 janvier 2018</w:t>
      </w:r>
    </w:p>
    <w:p>
      <w:r>
        <w:t>IT: TAF C-532/2015 del 5 gennaio 2018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Ainsi, le recours est recevable et il est entré en matière sur le fond du recours.</w:t>
      </w:r>
    </w:p>
    <w:p>
      <w:r>
        <w:rPr>
          <w:b/>
        </w:rPr>
        <w:t>E. 2</w:t>
      </w:r>
    </w:p>
    <w:p>
      <w:r>
        <w:t>Le TAF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 2011, pp. 300 s.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exposé qu'eu égard aux indicateurs retenus, il convient, plus qu'avant, de tenir compte des effets de l'atteinte à la santé sur les aptitudes de la personne concernée à exercer son travail et les tâches de sa vie quotidienne (répercussions fonctionnelles). La phase diagnostique, à la base de l'examen (consid. 2 et 6 de l'arrêt), doit mieux prendre en considération le fait qu'un diagnostic présuppose une certaine gravité de l'affection (consid. 2.1.1 et 4.3.1.1 de l'arrêt ; cf. aussi ATF 141 V 574 consid. 4.2 ; arrêt du Tribunal fédéral 8C_344/2016 du 23 février 2017 consid. 5.2.1). Le Tribunal fédéral a encore précisé que les indicateurs se rapportant au degré de gravité fonctionnel (cf. catégorie 1 ci-dessus) forment le socle de l'examen du caractère invalidant du trouble somatoforme (ATF 141 V 281 consid. 4.3). Les conséquences tirées de cet examen doivent ensuite être examinées à l'aune des indicateurs se rapportant à la cohérence (cf. catégorie 2 ci-dessus ; ATF 141 V 281 consid. 4.1.3). Le Tribunal fédéral a aussi expliqué que le résultat de l'examen doit être ouvert (consid. 3.6 de l'arrêt), qu'il sied de toujours tenir compte des circonstances du cas concret et que ce catalogue d'indicateurs n'a pas la fonction d'une simple check-list. Il a aussi souligné que ce catalogue n'est pas immuable, devant au contraire évoluer avec les connaissances scientifiques (consid. 4.1.1).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(ATF 141 V 281 consid. 8; arrêt du Tribunal fédéral 9C_716/2015 du 30 novembre 2015 consid. 4.1). Cependant, une expertise psychiatrique est en principe nécessaire quand il s'agit de se prononcer sur l'incapacité de travail que les troubles douloureux somatoformes (CIM-10 F45.4) sont susceptibles d'entraîner (ATF 137 V 54 consid. 4 et 5 et 130 V 352 consid. 2.2.2). Les experts doivent justifier le diagnostic de telle manière que l'administration puisse vérifier que les critères diagnostics ont été observés (ATF 142 V 106 consid. 3.3 ; cf. aussi arrêt du Tribunal fédéral 9C_634/2015, 9C_665/2015 du 15 mars 2016 consid. 6.1).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w:t>
      </w:r>
    </w:p>
    <w:p>
      <w:r>
        <w:rPr>
          <w:b/>
        </w:rPr>
        <w:t>E. 3.2</w:t>
      </w:r>
    </w:p>
    <w:p>
      <w:r>
        <w:t>L'affaire présente un aspect transfrontalier dans la mesure où le recourant est un ressortissant espagnol domicilié en Espagne ayant versé des cotisations sociales en Suisse et en Espagne.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3.3</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decelui-ci.</w:t>
      </w:r>
    </w:p>
    <w:p>
      <w:r>
        <w:rPr>
          <w:b/>
        </w:rPr>
        <w:t>E. 3.4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3.5</w:t>
      </w:r>
    </w:p>
    <w:p>
      <w:r>
        <w:t>Ainsi, ce sont les dispositions légales suisses qui s'appliquent à la présente cause, à savoir les dispositions de la 6ème révision de la LAI (premier volet) en vigueur depuis le 1er janvier 2012 (RO 2011 5659, FF 2010 1647).</w:t>
      </w:r>
    </w:p>
    <w:p>
      <w:r>
        <w:rPr>
          <w:b/>
        </w:rPr>
        <w:t>E. 4</w:t>
      </w:r>
    </w:p>
    <w:p>
      <w:r>
        <w:t>En l'espèce, la question litigieuse est le bien-fondé de la décision du 6 janvier 2015 par laquelle l'OAIE a rejeté la seconde demande de rente d'invalidité déposée le 31 octobre 2011 par le recourant, au motif que celui-ci, malgré l'atteinte à sa santé reconnue, présente toujours une capacité de travail suffisante pour exclure le droit à une rente d'invalidité (perte de gain de 27%).</w:t>
      </w:r>
    </w:p>
    <w:p>
      <w:r>
        <w:rPr>
          <w:b/>
        </w:rPr>
        <w:t>E. 5.1</w:t>
      </w:r>
    </w:p>
    <w:p>
      <w:r>
        <w:t>Selon les normes applicables, tout requérant, pour avoir droit à une rente de l'assurance-invalidité suisse, doit remplir cumulativement les conditions suivantes : être invalide au sens de la LPGA et de la LAI (art. 8 LPGA ; art. 4, 28 et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[art. 6 et 45 du règlement n°883/2004]). Or, en l'espèce, le recourant remplit la condition de la durée minimale de cotisations au moment de l'ouverture éventuelle du droit à la rente (cf. supra Faits let. A) et il ne reste qu'à examiner s'il est invalide au sens de la LAI.</w:t>
      </w:r>
    </w:p>
    <w:p>
      <w:r>
        <w:rPr>
          <w:b/>
        </w:rPr>
        <w:t>E. 5.2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 ; ATF 125 V 410 consid. 2b, ATF 117 V 198 consid. 4b et les références). 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effectué lorsque l'administration est entrée en matière sur la nouvelle demande (ATF 109 V 262 consid. 3 ; ATF 109 V 114 consid. 2b ; arrêt du TF I 597/05 du 8 janvier 2007).</w:t>
      </w:r>
    </w:p>
    <w:p>
      <w:r>
        <w:rPr>
          <w:b/>
        </w:rPr>
        <w:t>E. 5.3</w:t>
      </w:r>
    </w:p>
    <w:p>
      <w:r>
        <w:t>Si l'administration entre en matière sur la demande, elle doit instruire la cause et déterminer si la modification du degré d'invalidité rendue plausible par l'assuré s'est effectivement produite (ATF 130 V 71 consid. 2.2). Dans un tel cas, selon l'art. 87 al. 3 RAI en lien avec son alinéa 2,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ATF 130 V 71).</w:t>
      </w:r>
    </w:p>
    <w:p>
      <w:r>
        <w:rPr>
          <w:b/>
        </w:rPr>
        <w:t>E. 5.4</w:t>
      </w:r>
    </w:p>
    <w:p>
      <w:r>
        <w:t>En l'espèce, l'administration est entrée en matière sur la nouvelle demande. Par conséquent, le Tribunal doit examiner, en se référant à la dernière décision entrée en force s'étant prononcée matériellement sur le droit de l'assuré à une rente, si le recourant remplit nouvellement les conditions d'octroi d'une rente au moment du dépôt de sa seconde demande (art. 29 al. 1 LAI, cf. la nouvelle demande déposée le 31 octobre 2011 [pce 51]).</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Valtério, Droit de l'assurance-vieillesse et survivants [AVS] et de l'assurance-invalidité [AI], 2011, pp. 547 ss, n°2060 ss).</w:t>
      </w:r>
    </w:p>
    <w:p>
      <w:r>
        <w:rPr>
          <w:b/>
        </w:rPr>
        <w:t>E. 6.3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7.1</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w:t>
      </w:r>
    </w:p>
    <w:p>
      <w:r>
        <w:rPr>
          <w:b/>
        </w:rPr>
        <w:t>E. 8.1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6.3).</w:t>
      </w:r>
    </w:p>
    <w:p>
      <w:r>
        <w:rPr>
          <w:b/>
        </w:rPr>
        <w:t>E. 8.2</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w:t>
      </w:r>
    </w:p>
    <w:p>
      <w:r>
        <w:rPr>
          <w:b/>
        </w:rPr>
        <w:t>E. 8.3</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Le rapport doit se fonder sur des examens complets, prendre en considération les plaintes exprimées par la personne examinée et avoir été établi en pleine connaissance de l'anamnèse. Pour finir, la description du contexte médical et l'appréciation de la situation médicale se doivent d'être claires et les conclusions de l'expert dûment motivées (ATF 125 V 351 consid. 3a et les réf. cit.).</w:t>
      </w:r>
    </w:p>
    <w:p>
      <w:r>
        <w:rPr>
          <w:b/>
        </w:rPr>
        <w:t>E. 9.1</w:t>
      </w:r>
    </w:p>
    <w:p>
      <w:r>
        <w:t>Le recourant invoque être incapable d'exercer son activité habituelle de coffreur ou toute autre activité professionnelle même sédentaire en raison de troubles de la colonne cervicale et lombaire, ainsi qu'en raison d'une dépression chronique dans le cadre d'un trouble somatoforme douloureux. Il se réfère notamment au rapport neuro-psychiatrique du Dr J._______ du 9 décembre 2013 (pce 121) et à celui du Dr D._______ du 13 décembre 2013 (pce 122), ainsi qu'au rapport psychiatrique du 2 septembre 2014 établi par le Dr L._______ lequel fait plutôt référence à un trouble de l'adaptation (pce 131).</w:t>
      </w:r>
    </w:p>
    <w:p>
      <w:r>
        <w:rPr>
          <w:b/>
        </w:rPr>
        <w:t>E. 9.2</w:t>
      </w:r>
    </w:p>
    <w:p>
      <w:r>
        <w:t>De son côté l'autorité inférieure se réfère à l'expertise neurologique au dossier (pce 111) et aux prises de position de son service médical des 27 octobre 2013, 9 février 2014, 13 juillet 2014, 26 octobre 2014, 22 décembre 2014 et 12 mai 2015 (pces 115, 124, 126, 133 et 135 ; TAF pce 10). Elle considère que le recourant, malgré la reconnaissance de son incapacité de travail à 70% en tant que coffreur, est toujours apte à exercer une activité adaptée légère sédentaire à plein temps au vu de ses limitations fonctionnelles.</w:t>
      </w:r>
    </w:p>
    <w:p>
      <w:r>
        <w:rPr>
          <w:b/>
        </w:rPr>
        <w:t>E. 10.1</w:t>
      </w:r>
    </w:p>
    <w:p>
      <w:r>
        <w:t>En l'espèce, les troubles de la colonne lombaire et cervicale visibles à l'imagerie sont avérés. Ceux-ci sont connus depuis 2008 et empêchent le recourant d'exercer son ancienne activité de coffreur ou toute autre activité moyenne à lourde. D'un autre côté, des activités légères sédentaires sont encore considérées comme possibles au moment de la seconde demande de rente d'invalidité par tous les médecins consultés tant par le recourant que par l'administration (cf. le rapport du 17 octobre 2011 du Dr D._______ [pce 69], le formulaire E 213 du 9 novembre 2011 [pce 53] et le rapport d'expertise neurologique du Dr H._______ du 29 août 2013 [pce 111]). Toutefois à partir de la fin de l'année 2014, il ressort des rapports des médecins traitants (cf. les rapports précités supra sous consid. 9.1) que le recourant serait en totale incapacité de travail en raison d'un trouble somatoforme douloureux associé à un trouble dépressif/trouble de l'adaptation. Les médecins de l'administration ne suivent pas cette appréciation, remettant en cause la valeur probante des rapports médicaux des Dr J._______ et D._______. En se référant notamment au rapport psychiatrique du 2 septembre 2014 établi par le Dr L._______, les médecins de l'administration, le Dr I._______ et le Dr K._______, considèrent que ni les troubles lombaires et cervicaux sans atteinte radiculaire, ni le trouble de l'adaptation n'empêchent le recourant d'exercer une activité sédentaire adaptée à ses limitations fonctionnelles et ceci à temps complet. Le trouble somatoforme n'est pas examiné par les médecins de l'administration, sauf pour la Dresse I._______ de mentionner dans son avis du 9 février 2014 (pce 124) que le trouble somatoforme diagnostiqué par le neuro-psychiatre le Dr J._______ ne repose pas sur un examen lege artis et est allégué sans aucune base solide.</w:t>
      </w:r>
    </w:p>
    <w:p>
      <w:r>
        <w:rPr>
          <w:b/>
        </w:rPr>
        <w:t>E. 10.2</w:t>
      </w:r>
    </w:p>
    <w:p>
      <w:r>
        <w:t>Le Tribunal ne saurait toutefois suivre les médecins de l'administration sur ce dernier point. En effet, si l'on peut effectivement considérer les rapports des Dr J.______ et D._______ comme insuffisants au vu de la jurisprudence précitée sous le consid. 8.3, l'existence d'un trouble somatoforme douloureux a été établie par le Dr H._______, dans le cadre de l'expertise neurologique au dossier. En effet, en page 3, l'expert décrit « un patient assez algique et démonstratif accentuant une boiterie gauche lorsqu'on lui demande de démontrer sa marche, cette boiterie augmentant d'une façon encore plus spectaculaire à l'épreuve du funambule ». Il ajoute qu'il n'existe pas de déficit organique détectable justifiant des limitations fonctionnelles du recourant. Finalement, en page 6 de l'expertise, il écrit : « on doit donc considérer que la limitation est essentiellement due à la douleur chronifiée, ainsi qu'au tableau somatoforme (...) ». Toutefois, une telle atteinte n'a pas été considérée comme invalidante en raison de l'absence de comorbidité psychiatrique (cf. p. 7 de l'expertise).</w:t>
      </w:r>
    </w:p>
    <w:p>
      <w:r>
        <w:rPr>
          <w:b/>
        </w:rPr>
        <w:t>E. 10.3</w:t>
      </w:r>
    </w:p>
    <w:p>
      <w:r>
        <w:t>L'expert neurologue s'est prononcé dans le contexte de l'ancienne jurisprudence du Tribunal fédéral qui présumait que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qu'un assuré était incapable de fournir cet effort de volonté nécessaire à surmonter sa maladie. L'assuré devait alors présenter une comorbidité psychiatrique importante et/ou remplir quatre autres critères définis, appelés critères de Foerster (ATF 132 V 65 consid. 4, 131 V 49 et 130 V 352 consid. 2.2.3).</w:t>
      </w:r>
    </w:p>
    <w:p>
      <w:r>
        <w:rPr>
          <w:b/>
        </w:rPr>
        <w:t>E. 10.4</w:t>
      </w:r>
    </w:p>
    <w:p>
      <w:r>
        <w:t>Par son ATF 141 V 281, le Tribunal fédéral a cependant modifié sa pratique en profondeur. Un point central du changement concerne l'abandon de la présomption du caractère surmontable de la douleur par un effort de volonté raisonnablement exigible (consid. 3.5 de l'arrêt) et la renonciation à l'exigence de la présence d'une comorbidité psychiatrique et de son rôle prépondérant (consid. 4.1.1 et 4.3.1.1). Dorénavant la capacité de travail exigible des assurés souffrant de troubles somatoformes douloureux doit être évaluée sur la base d'une vision d'ensemble. Est nécessaire une procédure d'établissement des faits structurée et normative, permettant de mettre en lumière des facteurs d'incapacités d'une part et les ressources de la personne assurée d'autre part (consid 3.5 et 3.6 de l'arrêt ; arrêts du Tribunal fédéral 8C_569/2015 du 17 février 2016 consid. 4.1 et 9C_615 du 12 janvier 2016 consid. 6.3 et références). Le Tribunal a décrit les catégories suivantes : 1. Catégorie "degré de gravité fonctionnel"</w:t>
      </w:r>
    </w:p>
    <w:p>
      <w:r>
        <w:rPr>
          <w:b/>
        </w:rPr>
        <w:t>E. 10.5</w:t>
      </w:r>
    </w:p>
    <w:p>
      <w:r>
        <w:t>En l'espèce, force est de constater que le rapport d'expertise neurologique du Dr H._______ ne permet pas une appréciation globale et ouverte du trouble somatoforme douloureux dont le recourant souffre en tant qu'il se concentre principalement sur la présence d'une comorbidité psychiatrique. De plus, la gravité du trouble dépressif du recourant n'est pas clairement définie, ni dans quelle mesure il influence la capacité de travail du recourant, pour lui-même ou dans le cadre du syndrome somatoforme douloureux. D'une part, le Dr J._______, neuro-psychiatre, décrit le recourant comme sévèrement dépressif, d'autre part, le psychiatre L._______, dans un bref rapport du 2 septembre 2014 relève un trouble de l'adaptation anxio-dépressif (F 43.2). Le premier évoque une atteinte somatoforme et déclare le recourant en incapacité totale de travail, alors que le second ne se prononce pas et fait uniquement état de douleurs chroniques et persistantes. En tous les cas, les rapports de ces médecins sont lacunaires et ne présentent pas une valeur probante suffisante au sens de la jurisprudence (cf. supra consid. 8.3).</w:t>
      </w:r>
    </w:p>
    <w:p>
      <w:r>
        <w:rPr>
          <w:b/>
        </w:rPr>
        <w:t>E. 10.6</w:t>
      </w:r>
    </w:p>
    <w:p>
      <w:r>
        <w:t>Ainsi, il n'est pas possible pour le Tribunal de se prononcer en l'état sur le degré d'invalidité du recourant. Le syndrome somatoforme douloureux et l'état psychique du recourant n'ont pas été suffisamment investigués et les pièces au dossier ne permettent pas d'établir leur existence, leur degré de gravité et leur influence sur la capacité de travail du recourant.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11.1</w:t>
      </w:r>
    </w:p>
    <w:p>
      <w:r>
        <w:t>Dans ces circonstances, il se justifie de renvoyer la cause à l'autorité inférieure pour qu'elle procède à des mesures d'instruction complémentaires en application de l'art. 61 al. 1 PA, étant précisé que, dans ce cadre, le recourant pourra bénéficier des garanties de procédures introduites par l'ATF 137 V 210.</w:t>
      </w:r>
    </w:p>
    <w:p>
      <w:r>
        <w:rPr>
          <w:b/>
        </w:rPr>
        <w:t>E. 11.2</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Un renvoi est également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 arrêt du TF 8C_633/2014 cité consid. 3.2). Tel est le cas en l'occurrence, le dossier ne contenant pas une expertise médicale neurologique et psychiatrique répondant aux exigences de la jurisprudence sur les troubles somatoformes douloureux.</w:t>
      </w:r>
    </w:p>
    <w:p>
      <w:r>
        <w:rPr>
          <w:b/>
        </w:rPr>
        <w:t>E. 11.3</w:t>
      </w:r>
    </w:p>
    <w:p>
      <w:r>
        <w:t>Partant, le recours du 21 janvier 2015 est partiellement admis, la décision attaquée du 6 janvier 2015 annulée et la cause renvoyée à l'autorité inférieure pour complément d'instruction et nouvelle décision. En particulier, l'autorité inférieure veillera à requérir des rapports récents des médecins traitants du recourant et ordonnera a tout le moins une expertise pluridisciplinaire psychiatrique, neurologique et orthopédique en Suisse. Lors de l'examen du syndrome somatoforme douloureux, les experts devront déterminer une éventuelle capacité résiduelle de travail sur la base des indicateurs standards permettant d'évaluer le caractère invalidant des affections psychosomatiques selon la nouvelle jurisprudence du Tribunal fédéral (ATF 141 V 281, consid. 4.3). L'ensemble du dossier devra, par la suite, être soumis au service médical de l'OAIE pour examen. Enfin, une nouvelle décision devra être prise.</w:t>
      </w:r>
    </w:p>
    <w:p>
      <w:r>
        <w:rPr>
          <w:b/>
        </w:rPr>
        <w:t>E. 12.1</w:t>
      </w:r>
    </w:p>
    <w:p>
      <w:r>
        <w:t>Vu l'issue de la présente procédure, le recourant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400 francs versée (cf. TAF pce 12), sera restituée au recourant une fois le présent arrêt entré en force.</w:t>
      </w:r>
    </w:p>
    <w:p>
      <w:r>
        <w:rPr>
          <w:b/>
        </w:rPr>
        <w:t>E. 12.2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À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al. 2 FITAF). En l'espèce, le recourant a agi par l'intermédiaire d'un mandataire professionnel n'ayant pas produit de note d'honoraires. Au vue de l'issue de la procédure, le Tribunal lui alloue, à charge de l'autorité inférieure, une indemnité de dépens qu'il est équitable de fixer à 2'800 francs. Il est rappelé que, dans le cas d'une défense privée, la TVA n'est pas due sur des prestations d'avocat fournies à un assuré résidant à l'étranger (art. 9 al. 1 let. c FITAF ; art. 1 al. 2 let. a en relation avec l'art. 8 al. 1 de la loi fédérale du 12 juin 2009 régissant la taxe sur la valeur ajoutée [RS 641.20 ; LTVA] ; cf. également ATF 141 III 560 consid. 2 et 3, 141 IV 344 consid. 4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