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C-5324/2008 vom 20. August 2010</w:t>
      </w:r>
    </w:p>
    <w:p>
      <w:r>
        <w:t>Bundesverwaltungsgericht, 2010-08-20, DE</w:t>
      </w:r>
    </w:p>
    <w:p>
      <w:r>
        <w:rPr>
          <w:b/>
        </w:rPr>
        <w:t xml:space="preserve">Quelle: </w:t>
      </w:r>
      <w:r>
        <w:t>https://mcp.opencaselaw.ch/entscheid/bvger_C-5324_2008</w:t>
      </w:r>
    </w:p>
    <w:p>
      <w:r>
        <w:t>FR: TAF C-5324/2008 du 20 août 2010</w:t>
      </w:r>
    </w:p>
    <w:p>
      <w:r>
        <w:t>IT: TAF C-5324/2008 del 20 agosto 2010</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24. Juni 2008 (act. 92).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a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1.3</w:t>
      </w:r>
    </w:p>
    <w:p>
      <w:r>
        <w:t>Die angefochtene Verfügung trägt das Datum vom 24. Juni 2008; sie wurde ohne Zustellnachweis verschickt. Unter Berücksichtigung des Fristenstillstands vom 15. Juli 2008 bis zum 15. August 2008 gemäss Art. 38 Abs. 4 Bst. b ATSG in Verbindung mit Art. 60 Abs. 2 ATSG ist die am 18. August 2008 der Schweizerischen Post übergebene Beschwerde jedenfalls rechtzeitig eingereicht worden. Auch die Formerfordernisse gemäss Art. 52 Abs. 1 VwVG sind erfüllt, so dass auf die Beschwerde einzutreten ist.</w:t>
      </w:r>
    </w:p>
    <w:p>
      <w:r>
        <w:rPr>
          <w:b/>
        </w:rPr>
        <w:t>E. 2</w:t>
      </w:r>
    </w:p>
    <w:p>
      <w:r>
        <w:t>Aufgrund der Beschwerdebegehren streitig und damit zu prüfen ist im Folgenden, ob die Vorinstanz das Gesuch des Beschwerdeführers um Zusprechung einer Invalidenrente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beanstandet insbesondere die Festsetzung des Grads der Arbeitsfähigkeit sowie die Berechnung der Erwerbseinbusse durch die Vorinstanz. Damit rügt er eine Verletzung von Bundesrecht.</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24. Juni 2008 die zeitliche Grenze der gerichtlichen Überprüfung.</w:t>
      </w:r>
    </w:p>
    <w:p>
      <w:r>
        <w:rPr>
          <w:b/>
        </w:rPr>
        <w:t>E. 4</w:t>
      </w:r>
    </w:p>
    <w:p>
      <w:r>
        <w:t>Vorab ist darzulegen,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Der Beschwerdeführer ist türkischer Staatsangehöriger, so dass vorliegend das am 1. Januar 1972 mit Wirkung ab 1. Januar 1969 in Kraft getretene Abkommen vom 1. Mai 1969 zwischen der Schweiz und der Republik Türkei über soziale Sicherheit (SR 0.831.109.763.1) anwendbar ist. Gemäss Art. 2 Abs. 1 des Abkommens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sofern das Abkommen und sein Schlussprotokoll nichts anderes bestimmen. Unter Vorbehalt der abweichenden Bestimmungen des Abkommens und seines Schlussprotokolls erhalten türkische und schweizerische Staatsangehörige, die Anspruch auf Leistungen der Sozialen Sicherheit gemäss den in Artikel 1 des Abkommens genannten Gesetzgebungen haben, diese Leistungen in vollem Umfang und ohne jede Einschränkung, solange sie im Gebiet einer der Vertragsparteien wohnen; unter dem gleichen Vorbehalt werden die erwähnten Leistungen von der einen Vertragspartei an Angehörige der anderen Vertragspartei, die in einem Drittstaat wohnen, unter den gleichen Voraussetzungen und in gleichem Umfang gewährt wie den eigenen Staatsangehörigen, die in diesem Staat wohnen (Art. 3 des Abkommens).</w:t>
      </w:r>
    </w:p>
    <w:p>
      <w:r>
        <w:rPr>
          <w:b/>
        </w:rPr>
        <w:t>E. 4.2.2</w:t>
      </w:r>
    </w:p>
    <w:p>
      <w:r>
        <w:t>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Ein allfälliger Leistungsanspruch ist für die Zeit vor einem Rechtswechsel aufgrund der bisherigen und ab diesem Zeitpunkt nach den neuen Bestimmungen zu prüfen (BGE 130 V 445). Demgemäss sind im vorliegenden Fall für die Zeit vom 1. Januar 2004 bis zum 31. Dezember 2007 das IVG und das ATSG in der Fassung vom 21. März 2003 und die IVV in der Fassung vom 21. Mai 2003 (4. IV-Revision, AS 2003 3837 bzw. AS 2003 3859) anwendbar. Soweit sich der Rentenanspruch auf die Zeit nach dem 1. Januar 2008 bezieht, sind die Bestimmungen der erwähnten Erlasse in der seit diesem Datum geltenden Fassung anwendbar.</w:t>
      </w:r>
    </w:p>
    <w:p>
      <w:r>
        <w:rPr>
          <w:b/>
        </w:rPr>
        <w:t>E. 5</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5.1</w:t>
      </w:r>
    </w:p>
    <w:p>
      <w:r>
        <w:t>Nach Art. 8 Abs. 1 ATSG ist die Invalidität die voraussichtlich bleibende oder längere Zeit dauernde ganze oder teilweise Erwerbsunfähigkeit. Art. 4 IVG führt dazu aus, dass die Invalidität Folge von Geburtsgebrechen, Krankheit oder Unfall sein kann; nach Art. 4 Abs. 2 IVG gilt die Invalidität als eingetreten, sobald sie die für die Begründung des Anspruchs auf die jeweilige Leistung erforderliche Art und Schwere erreicht hat. Gemäss Art. 7 ATSG (in der bis am 31. Dezember 2007 gültig gewesenen Fassung)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Nach dem seit dem 1. Januar 2008 in Kraft stehenden Art. 7 Abs. 2 ATSG sind für die Beurteilung des Vorliegens einer Erwerbsunfähigkeit ausschliesslich die Folgen der gesundheitlichen Beeinträchtigung zu berücksichtigen; eine Erwerbsunfähigkeit liegt zudem nur vor, wenn sie aus objektiver Sicht nicht überwindbar ist.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ganze Rente besteht bei einem Grad der Invalidität von mindestens 70%, auf eine Dreiviertelsrente bei einem solchen von mindestens 60%, auf eine halbe Rente bei einem solchen von mindestens 50% und auf eine Viertelsrente bei einem solchen von mindestens 40% (bis zum 31. Dezember 2007: Art. 28 Abs. 1 IVG; ab 1. Januar 2008: Art. 28 Abs. 2 IVG). Beträgt der Invaliditätsgrad weniger als 50%, werden die entsprechenden Renten nur an Versicherte ausgerichtet, die ihren Wohnsitz und gewöhnlichen Aufenthalt (Art. 13 ATSG) in der Schweiz haben (bis 31. Dezember 2007: Art. 28 Abs. 1ter IVG; ab 1. Januar 2008: Art. 29 Abs. 4 IVG).</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w:t>
      </w:r>
    </w:p>
    <w:p>
      <w:r>
        <w:rPr>
          <w:b/>
        </w:rPr>
        <w:t>E. 5.4</w:t>
      </w:r>
    </w:p>
    <w:p>
      <w:r>
        <w:t>Zu bemerken bleibt, dass aufgrund des im gesamten Sozialversicherungsrecht geltenden Grundsatzes der Schadenminderungspflicht eine in ihrem bisherigen Tätigkeitsbereich dauernd arbeitsunfähige versicherte Person gehalten ist, innert nützlicher Frist Arbeit in einem anderen Berufs- oder Erwerbszweig zu suchen und anzunehmen, soweit sie möglich und zumutbar erscheint (BGE 113 V 22 E. 4a, 111 V 235 E. 2a). Deshalb ist es am behandelnden Arzt bzw. am Vertrauensarzt einer IV-Stelle zu entscheiden, in welchem Ausmass eine versicherte Person ihre verbliebene Arbeitsfähigkeit bei zumutbarer Tätigkeit und zumutbarem Einsatz auf dem ausgeglichenen Arbeitsmarkt verwerten kann. Diese sogenannte Verweisungstätigkeit hat sich die versicherte Person anrechnen zu lassen (leidensangepasste Verweisungstätigkeit; ZAK 1986 S. 204 f.), wobei es unerheblich ist, ob sie ihre Restarbeitsfähigkeit tatsächlich verwertet oder nicht.</w:t>
      </w:r>
    </w:p>
    <w:p>
      <w:r>
        <w:rPr>
          <w:b/>
        </w:rPr>
        <w:t>E. 6</w:t>
      </w:r>
    </w:p>
    <w:p>
      <w:r>
        <w:t>Im Folgenden ist zu prüfen, ob die Vorinstanz gestützt auf Dr. med. S. A._______s Gutachten vom 20. Dezember 2007 (act. 86) und die entsprechende Stellungnahme von Dr. Ü._______ vom 20. März 2008 (act. 88), im Rahmen der Vernehmlassung bestätigt durch Dr. L._______s Stellungnahme vom 3. November 2008 (act. 96), die Arbeitsfähigkeit des Beschwerdeführers in Verweisungstätigkeiten zu Recht auf 100 % festgesetzt hat.</w:t>
      </w:r>
    </w:p>
    <w:p>
      <w:r>
        <w:rPr>
          <w:b/>
        </w:rPr>
        <w:t>E. 6.1</w:t>
      </w:r>
    </w:p>
    <w:p>
      <w:r>
        <w:t>Der Beschwerdeführer macht in formeller Hinsicht geltend, Dr. med. A._______s Gutachten vom 20. Dezember 2007 (act. 86) sei aus dem Recht zu weisen, da dem Beschwerdeführer der Name der Gutachterin nicht bekannt gegeben worden sei und diese als Angestellte der Deutschen Rentenversicherung Knappschaft Bahn See nicht unabhängig gewesen sei.</w:t>
      </w:r>
    </w:p>
    <w:p>
      <w:r>
        <w:rPr>
          <w:b/>
        </w:rPr>
        <w:t>E. 6.1.1</w:t>
      </w:r>
    </w:p>
    <w:p>
      <w:r>
        <w:t>Art. 44 ATSG ist eine den Ausstand betreffende Verfahrensregel, welche den Versicherungsträger verpflichtet, vor der Einholung eines Sachverständigengutachtens der Partei den Namen der begutachtenden Person bekannt zu geben. Die Partei kann den Gutachter oder die Gutachterin aus triftigen Gründen ablehnen und Gegenvorschläge machen. Im vorliegenden Fall wurde dem Beschwerdeführer der Name der Gutachterin nicht mitgeteilt und insofern Art. 44 ATSG nicht beachtet. Der Beschwerdeführer hätte jedoch anlässlich der Untersuchung Ausstands- bzw. Ablehnungsgründe geltend machen können. Nach der Lehre verstösst eine Partei, welche trotz der Kenntnis, dass eine befangene Person am Entscheid mitwirkt, nicht interveniert und erst Einwände gegen das Verfahren erhebt, wenn der Entscheid zu ihren Ungunsten ausfällt, gegen das Gebot von Treu und Glauben (vgl. BENJAMIN SCHINDLER, Die Befangenheit der Verwaltung, Zürich Basel Genf 2002, S. 207 f.). Aus dem Recht zu weisen wäre das Gutachten dann, wenn die Vorinstanz trotz entsprechendem Begehren die Ablehnungsgründe nicht gepüft und das Gutachten ohne förmliche Abweisung des Ablehnungsbegehrens gegen den Willen des Beschwerdeführers durch Dr. med. A._______ hätte erstellen lassen (zur formellen Natur des Anspruchs auf ein unabhängiges Sachverständigengutachten vgl. SUSANNE FANKHAUSER, Sachverhaltsabklärung in der Invalidenversicherung - ein Gleichbehandlungsproblem, Zürich Basel Genf 2010, S. 110 f.). Im vorliegenden Fall hat der Beschwerdeführer die Gutachterin offensichtlich akzeptiert, weshalb sein Anspruch auf deren Ablehnung verwirkt ist (vgl. SCHINDLER, a.a.O., S. 209).</w:t>
      </w:r>
    </w:p>
    <w:p>
      <w:r>
        <w:rPr>
          <w:b/>
        </w:rPr>
        <w:t>E. 6.1.2</w:t>
      </w:r>
    </w:p>
    <w:p>
      <w:r>
        <w:t>Die Gebote der Unparteilichkeit und Unbefangenheit gelten unabhängig von den gesetzlich geregelten Ausstandsgründen sowohl für die verwaltungsinternen als auch für die verwaltungsexternen Sachverständigen (vgl. FANKHAUSER, a.a.O., S. 109). Angesichts der überragenden Bedeutung ihrer Stellungnahmen sind an die Unabhängigkeit der sachverständigen Personen hohe Anforderungen zu stellen (FANKHAUSER, a.a.O., S. 110 mit Hinweisen auf die Rechtsprechung). Nach der bundesgerichtlichen Rechtsprechung lässt die Tatsache allein, dass der befragte Arzt in einem Anstellungsverhältnis zum Versicherungsträger steht, nicht schon auf mangelnde Objektivität und auf Befangenheit schliessen; es bedarf vielmehr besonderer Umstände, welche das fehlende Vertrauen in die Unparteilichkeit der Beurteilung objektiv als begründet erscheinen lassen (vgl. BGE 123 V 331 E. 1c mit Hinweis). Daraus folgert das Bundesgericht: "Wenn selbst aus der Tatsache, dass ein Arzt in einem Anstellungsverhältnis zum Versicherungsträger steht, nicht auf mangelnde Objektivität und auf Befangenheit zu schliessen ist, kann dieser Vorwurf um so weniger gegenüber den Ärzten der MEDAS erhoben werden, welche nicht durch den Versicherungsträger selber, sondern durch die jeweilige Trägerorganisation angestellt werden" (vgl. BGE 123 V 175 E. 4b). Im vorliegenden Fall ist die Gutachterin weder beim entscheidenden Versicherungsträger noch bei einer MEDAS, sondern bei der Deutschen Rentenversicherung angestellt. In Berücksichtigung der zitierten Rechtsprechung kann aus dieser Konstellation für sich allein genommen erst recht nicht auf mangelnde Unabhängigkeit der Gutachterin geschlossen werden. Da keine Anhaltspunkte für eine Befangenheit von Dr. med. A._______ vorliegen, ist im vorliegenden Fall von deren Unabhängigkeit auszugehen.</w:t>
      </w:r>
    </w:p>
    <w:p>
      <w:r>
        <w:rPr>
          <w:b/>
        </w:rPr>
        <w:t>E. 6.2</w:t>
      </w:r>
    </w:p>
    <w:p>
      <w:r>
        <w:t>Die Vorinstanz hat auf Empfehlung von Dr. L._______ hin ein rheumatologisches Gutachten in Auftrag gegeben (vgl. Schreiben an die Deutsche Rentenversicherung [vormals: Bahnversicherungsanstalt] vom 3. April 2007 [act. 75]). Statt dessen wurde jedoch ein internistisch-sozialmedizinisches Gutachten erstattet. Gemäss Art. 48 IVV sind in den regionalen ärztlichen Diensten (RAD) insbesondere die Fachdisziplinen Innere oder Allgemeine Medizin, Orthopädie, Rheumatologie, Pädiatrie und Psychiatrie vertreten. Der Verordnungsgeber ging somit davon aus, dass die Spezialärzte Gutachten auf ihrem Fachgebiet erstellen. Dieser für die versicherungsinternen Gutachten der RAD geltende Grundsatz muss auch für versicherungsexterne Gutachten gelten. Dies schliesst - im Gegensatz zu der von Dr. L._______ geäusserten Meinung (vgl. Sachverhalt Bst. O) - aus, dass eine Ärztin für Innere Medizin ein rheumatologisches Gutachten erstellt. Das Gutachten vom 20. Dezember 2007 (act. 86) kann daher nicht als fachärztliches Gutachten betreffend die rheumatischen Beschwerden gelten. An dieser Stelle ist darauf hinzuweisen, dass vorliegend offen bleiben muss, ob die Gutachterin im Besitz der medizinischen Vorakten gewesen ist, wie es die Rechtsprechung zum Beweiswert medizinischer Gutachten verlangt (vgl. BGE 125 V 351 E. 3). Das Gutachten vom 20. Dezember 2007 (act. 86) enthält jedenfalls keine Angaben darüber, welche medizinischen Akten Dr. med. A._______ zur Verfügung gestanden haben. Kritisch zu würdigen ist die Tatsache, dass die von Dr. Z._______, Arzt für Neurologie und Psychiatrie genannten Diagnosen der anhaltenden somatoformen Schmerzstörung und der Dysthymie (vgl. Bericht vom 20. Oktober 2003 [act. 45]) vom medizinischen Dienst der Vorinstanz nicht erwähnt werden, obwohl auch in Dr. med. A._______s Gutachten vom 20. Dezember 2007 die Diagnose des Verdachts auf somatoforme Schmerzstörung gestellt wird (vgl. act. 86 S. 9). Nach der Rechtsprechung setzt die Annahme eines psychischen Gesundheitsschadens, so auch einer anhaltenden somatoformen Schmerzstörung, zunächst eine fachärztlich (psychiatrisch) gestellte Diagnose nach einem wissenschaftlich anerkannten Klassifikationssystem voraus (BGE 131 V 49 E. 1.2 mit Hinweis). Aufgrund der Hinweise auf eine psychische Erkrankung war die Vorinstanz gehalten, einen Psychiater oder eine Psychiaterin beizuziehen. Mit Blick auf diesen Mangel in der vorinstanzlichen Sachverhaltsabklärung erscheint die Rüge des Beschwerdeführers, es hätte ein polydisziplinäres Gutachten erstellt werden müssen, berechtigt. Widersprüchlich sind auch die Aussagen der IV-Stellenärzte bezüglich der zumutbaren Verweisungstätigkeiten: Während Dr. Ü._______ in seiner Stellungnahme vom 20. März 2008 (act. 88) unter der Rubrik "spezielle Einschränkungen, welche berücksichtigt werden müssen" eine wechselnde Arbeitsposition nennt, empfiehlt Dr. L._______ in seiner Stellungnahme vom 3. November 2008 (act. 96) dem Beschwerdeführer vorwiegend sitzende Tätigkeiten. Offen ist schliesslich der Eintritt der Arbeitsunfähigkeit im bisherigen Beruf des Beschwerdeführers und damit der Beginn einer allfälligen Wartezeit gemäss Art. 29 Abs. 1 Bst. b IVG (in der bis zum 31. Dezember 2007 gültig gewesenen Fassung) bzw. Art. 28 Abs. 1 Bst. b IVG (in Kraft seit dem 1. Januar 2008). Dr. Ü._______s Aussage, der Beschwerdeführer sei in der bisherigen Tätigkeit als Kellner seit dem 8. November 2004 zu 100% arbeitsunfähig, findet in den Akten keine Stütze. In Anbetracht dieser Erwägungen erscheint der medizinische Sachverhalt nicht genügend abgeklärt. Die Rüge der unvollständigen Feststellung des rechtserheblichen Sachverhalts gemäss Art. 49 Bst. b VwVG erweist sich somit als begründet.</w:t>
      </w:r>
    </w:p>
    <w:p>
      <w:r>
        <w:rPr>
          <w:b/>
        </w:rPr>
        <w:t>E. 7</w:t>
      </w:r>
    </w:p>
    <w:p>
      <w:r>
        <w:t>Zusammenfassend ist festzuhalten, dass sich die Beschwerde als teilweise begründet erweist und ensprechend dem Eventualantrag gutzuheissen ist. Die angefochtene Verfügung ist aufzuheben, und die Sache ist gestützt auf Art. 61 Abs. 1 VwVG an die Vorinstanz zurückzuweisen, damit diese ein rheumatologisch-psychiatrisches Gutachten einhole und aufgrund dessen Ergebnisse die Arbeitsunfähigkeit des Beschwerdeführers neu festsetze. Auch der Eintritt des Gesundheitsschadens und der Beginn einer allfälligen Wartezeit ist zu bestimmen. Gestützt auf einen entsprechenden Einkommensvergleich nach den Vorgaben des Einkommensvergleichs vom 25. November 2008 (act. 98) ist der Invaliditätsgrad zu ermitteln und eine neue Verfügung betreffend den Rentenanspruch zu erlassen.</w:t>
      </w:r>
    </w:p>
    <w:p>
      <w:r>
        <w:rPr>
          <w:b/>
        </w:rPr>
        <w:t>E. 8</w:t>
      </w:r>
    </w:p>
    <w:p>
      <w:r>
        <w:t>Bei diesem Ausgang des Verfahrens steht dem obsiegenden Beschwerdeführer eine Parteientschädigung für ihm erwachsene notwendige und verhältnismässig hohe Kosten zu (Art. 64 VwVG in Verbindung mit Art. 7 ff. des Reglements vom 21. Februar 2008 über die Kosten und Entschädigungen vor dem Bundesverwaltungsgericht [VGKE, SR 173.320.2]). Die Parteientschädigung umfasst die Kosten der Vertretung sowie allfällige weitere notwendige Auslagen der Partei und tritt an die Stelle der in Gewährung der unentgeltlichen Prozessführung vom Bundesverwaltungsgericht zu übernehmenden Anwaltskosten. In Anbetracht der Tatsache, dass es sich um einen durchschnittlichen Fall handelt, dass mit der Beschwerde keine Beweismittel eingereicht und dass keine Replik ausgearbeitet worden ist, erscheint eine Entschädigung von pauschal Fr. 2'000.- als angemessen. Diese ist von der Vorinstanz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