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C-5322/2011 vom 17. Oktober 2012</w:t>
      </w:r>
    </w:p>
    <w:p>
      <w:r>
        <w:t>Bundesverwaltungsgericht, 2012-10-17, FR</w:t>
      </w:r>
    </w:p>
    <w:p>
      <w:r>
        <w:rPr>
          <w:b/>
        </w:rPr>
        <w:t xml:space="preserve">Quelle: </w:t>
      </w:r>
      <w:r>
        <w:t>https://mcp.opencaselaw.ch/entscheid/bvger_C-5322_2011</w:t>
      </w:r>
    </w:p>
    <w:p>
      <w:r>
        <w:t>FR: TAF C-5322/2011 du 17 octobre 2012</w:t>
      </w:r>
    </w:p>
    <w:p>
      <w:r>
        <w:t>IT: TAF C-5322/2011 del 17 ottobre 2012</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déposés en temps utile et dans les formes requises par la loi (art. 60 LPGA et art.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édition, Zurich 1998 n. 677).</w:t>
      </w:r>
    </w:p>
    <w:p>
      <w:r>
        <w:rPr>
          <w:b/>
        </w:rPr>
        <w:t>E. 3.1</w:t>
      </w:r>
    </w:p>
    <w:p>
      <w:r>
        <w:t>Le recourant, de nationalité française,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(CEE) n° 1408/71; ATF 130 V 253 consid. 2.4), étant précisé que la documentation médicale et administrative fournie par les institutions de sécurité sociale d'un autre Etat membre doit être prise en considération (art. 40 du règlement (CEE) n° 574/72 du Conseil du 21 mars 1972 fixant les modalités d'application du règlement (CEE) n° 1408/71 [RS 0.831.109.268.11]).</w:t>
      </w:r>
    </w:p>
    <w:p>
      <w:r>
        <w:rPr>
          <w:b/>
        </w:rPr>
        <w:t>E. 4</w:t>
      </w:r>
    </w:p>
    <w:p>
      <w:r>
        <w:t>S'agissant du droit applicable, il convient de préciser que le 1er janvier 2008 les modifications de la LAI introduites par la 5ème révision AI sont entrées en vigueur (RO 2007 5129). Eu égard au principe selon lequel les règles applicables sont celles en vigueur au moment où les faits juridiquement déterminants se sont produits (ATF 130 V 445 consid. 1.2), la présente procédure est régie par les nouvelles dispositions. Ne sont en revanche pas applicables en l'espèce, les dispositions de la 6e révision de la LAI (premier volet) en vigueur dès le 1er janvier 2012 (RO 2011 5659, FF 2010 1647).</w:t>
      </w:r>
    </w:p>
    <w:p>
      <w:r>
        <w:rPr>
          <w:b/>
        </w:rPr>
        <w:t>E. 5</w:t>
      </w:r>
    </w:p>
    <w:p>
      <w:r>
        <w:t>En l'espèce est litigieuse la question de savoir si l'autorité intimée était fondée à refuser d'entrer en matière sur la nouvelle demande de rente d'assurance-invalidité du 19 mai 2011, après avoir refusé la première demande du recourant du 17 juillet 2009 par décision du 22 février 2010.</w:t>
      </w:r>
    </w:p>
    <w:p>
      <w:r>
        <w:rPr>
          <w:b/>
        </w:rPr>
        <w:t>E. 5.1</w:t>
      </w:r>
    </w:p>
    <w:p>
      <w:r>
        <w:t>Lorsque l'autorité examine une nouvelle demande de la personne assurée après un premier refus de prestations, elle n'entrera en matière que s'il apparaît établi de façon plausible que l'invalidité s'est modifiée de manière à influencer ses droits (art. 87 al. 3 et 4 du Règlement sur l'assurance-invalidité, RAI, RS 831.201).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aux prestations, l'affaire est liquidée sans autre examen par une décision de non-entrée en matière sujette à recours devant le tribunal compétent. On entend ainsi éviter que l'administration ne doive s'occuper continuellement des mêmes cas, soit des cas où la situation n'a pas subi de modification déterminante (ATF 125 V 410 consid. 2b, VSI 2000 242).</w:t>
      </w:r>
    </w:p>
    <w:p>
      <w:r>
        <w:rPr>
          <w:b/>
        </w:rPr>
        <w:t>E. 5.2</w:t>
      </w:r>
    </w:p>
    <w:p>
      <w:r>
        <w:t>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 ce qu'elle n'a pas fait en l'espèce - elle doit instruire la cause et déterminer si la modification du degré d'invalidité rendue plausible par l'assuré s'est effectivement produite (ATF 130 V 71 consid. 2.2).</w:t>
      </w:r>
    </w:p>
    <w:p>
      <w:r>
        <w:rPr>
          <w:b/>
        </w:rPr>
        <w:t>E. 5.3</w:t>
      </w:r>
    </w:p>
    <w:p>
      <w:r>
        <w:t>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(ATF 109 V 114 consid. 2b; arrêt du Tribunal fédéral I 597/05 du 8janvier 2007).</w:t>
      </w:r>
    </w:p>
    <w:p>
      <w:r>
        <w:rPr>
          <w:b/>
        </w:rPr>
        <w:t>E. 6.1</w:t>
      </w:r>
    </w:p>
    <w:p>
      <w:r>
        <w:t>A._______ apporte à l'appui de sa nouvelle demande de prestations de l'assurance-invalidité - déposée un peu plus d'une année après le rejet de sa première demande - un rapport médical du 3 mai 2011 du Dr F._______, par lequel le médecin traitant déclare que l'état de l'assuré physique et psychique nécessite la mise en place d'une expertise (OAIE pce 64). Or, force est au Tribunal de constater que ce rapport extrêmement succinct n'apporte aucun élément nouveau, ni ne contient aucune appréciation de l'état de santé du recourant, diagnostic ou observations cliniques. En outre, un rapport très similaire du 14 janvier 2010 de ce même médecin (OAIE pce 53) avait déjà été versé en cause dans le cadre de la première demande de rente. Concernant les céphalées chroniques dont se plaint le recourant, il ressort des résultats de scanographie du 4 avril 2011, établis par le Dr K._______ (OAIE pce 65), que l'assuré ne présente pas d'anomalie particulière. Quant aux autres documents versés en procédure de recours (cf. les rapports médicaux du 5 juin 2009 du Dr E._______, le rapport médical du 18 mars 2005 du Dr L._______ et la fiche médicale du 8 octobre 2009 établie par l'ELMS de X._______; TAF pces 1, 8 et 18), le Tribunal remarque qu'ils sont antérieurs à la décision initiale du 22 février 2010 et concernent tous l'état de santé de l'assuré au moment de sa première demande de rente, sans apporter aucunement la preuve d'une aggravation de son état de santé ou d'éléments nouveaux. Au vu de ce qui précède, le Tribunal ne saurait dès lors suivre les conclusions du recourant, qui requiert implicitement l'octroi d'une rente d'invalidité et à être examiné personnellement par un médecin de l'OAIE, celui-ci n'ayant manifestement pas rendu vraisemblable une aggravation de ses atteintes. Tout au plus, les arguments avancés par le recourant - évoquant une décision initiale erronée - pourraient être utiles dans le cadre d'une requête de reconsidération de la première décision de rejet de sa demande de rente du 22 février 2010 au sens de l'art. 53 LPGA.</w:t>
      </w:r>
    </w:p>
    <w:p>
      <w:r>
        <w:rPr>
          <w:b/>
        </w:rPr>
        <w:t>E. 6.2</w:t>
      </w:r>
    </w:p>
    <w:p>
      <w:r>
        <w:t>Au vu de ce qui précède, le Tribunal, à l'instar du service médical de l'OAIE (cf. les prises de position des 22 juin 2011 et 11 janvier 2012; OAIE pces 68 et 74), retient que le recourant n'a pas pu établir de façon plausible une aggravation de son état de santé, selon le degré de preuve exigé par la jurisprudence citée sous considérant 5.</w:t>
      </w:r>
    </w:p>
    <w:p>
      <w:r>
        <w:rPr>
          <w:b/>
        </w:rPr>
        <w:t>E. 7</w:t>
      </w:r>
    </w:p>
    <w:p>
      <w:r>
        <w:t>Partant, le recours du 22 septembre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8</w:t>
      </w:r>
    </w:p>
    <w:p>
      <w:r>
        <w:t>Les frais de procédure par Fr. 400.-- sont mis à la charge du recourant (art. 63 al. 1 PA, applicable par le truchement de l'art. 37 LTAF). Ils sont compensés par l'avance de frais déjà fournie le 12 mars 2012 (TAF pce 8). Vu l'issue du litige, il n'est pas alloué d'indemnité de dépens (art. 7 al. 1 et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