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C-531/2011 vom 30. November 2012</w:t>
      </w:r>
    </w:p>
    <w:p>
      <w:r>
        <w:t>Bundesverwaltungsgericht, 2012-11-30, FR</w:t>
      </w:r>
    </w:p>
    <w:p>
      <w:r>
        <w:rPr>
          <w:b/>
        </w:rPr>
        <w:t xml:space="preserve">Quelle: </w:t>
      </w:r>
      <w:r>
        <w:t>https://mcp.opencaselaw.ch/entscheid/bvger_C-531_2011</w:t>
      </w:r>
    </w:p>
    <w:p>
      <w:r>
        <w:t>FR: TAF C-531/2011 du 30 novembre 2012</w:t>
      </w:r>
    </w:p>
    <w:p>
      <w:r>
        <w:t>IT: TAF C-531/2011 del 30 novembre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il est entré en matière sur le fonds du recours.</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w:t>
      </w:r>
    </w:p>
    <w:p>
      <w:r>
        <w:rPr>
          <w:b/>
        </w:rPr>
        <w:t>E. 3</w:t>
      </w:r>
    </w:p>
    <w:p>
      <w:r>
        <w:t>L'office AI du secteur d'activité dans lequel le frontalier exerce une activité lucrative est compétent pour enregistrer et examiner les demandes présentées par les frontaliers. Par contre, c'est l'office AI pour les assurés résidant à l'étranger qui notifie les décisions (cf. art. 40 al. 2 du règlement sur l'assurance-invalidité [RAI, RS 831.201]).</w:t>
      </w:r>
    </w:p>
    <w:p>
      <w:r>
        <w:rPr>
          <w:b/>
        </w:rPr>
        <w:t>E. 4.1</w:t>
      </w:r>
    </w:p>
    <w:p>
      <w:r>
        <w:t>S'agissant du droit applicable dans le temps, il convient de rappeler le principe selon lequel les règles applicables sont celles en vigueur au moment où les faits juridiquement déterminants se sont produits (ATF 130 V 445 consid. 1.2). Dans le cas concret, est ainsi applicable la LAI modifiée par la 5ème révision, entrée en vigueur le 1er janvier 2008 (RO 2007 5129; FF 2005 4215). En outre, le recourant, de nationalité suisse, est domicilié en France et a travaillé comme frontalier en Suisse. Par conséquent, est aussi déterminant l'Accord entre la Suisse et la Communauté européenne et ses Etats membres sur la libre circulation des personnes du 21 juin 1999 (ALCP, RS 0.142.112.681; ATF 133 V 169 consid. 4.3), entré en vigueur le 1er juin 2002 (ATF 133 V 269 consid. 4.2.1, 128 V 317 consid. 1b/aa). A cette date sont également entrés en vigueur son Annexe II qui règle la coordination des systèmes de sécurité sociale, le Règlement (CEE) n° 1408/71 du le règlement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Par contre, ne sont pas applicables les dispositions de la 6ème révision de la LAI (premier volet), en vigueur dès le 1er janvier 2012 (RO 2011 5659, FF 2010 1647) ainsi que l'annexe II révisée de l'ALCP et les nouveaux règlements (CEE) n° 883/2004 et 987/2009 (RS 0.831.109.268.1 et 0.831.109.268.11), en vigueur pour la relation entre la Suisse et les Etats de l'Union européenne depuis le 1er avril 2012 (cf. section A art. 3 et 4 de l'annexe II révisée ALCP, art. 87 par. 1 et art. 90 par. 1 let. c du règlement (CEE) n° 883/2004).</w:t>
      </w:r>
    </w:p>
    <w:p>
      <w:r>
        <w:rPr>
          <w:b/>
        </w:rPr>
        <w:t>E. 4.2</w:t>
      </w:r>
    </w:p>
    <w:p>
      <w:r>
        <w:t>Les dispositions de la LPGA sont applicables en matière d'assurance-invalidité si et dans la mesure où la LAI le prévoit (art. 2 LPGA et art. 1 al. 1 LAI).</w:t>
      </w:r>
    </w:p>
    <w:p>
      <w:r>
        <w:rPr>
          <w:b/>
        </w:rPr>
        <w:t>E. 5</w:t>
      </w:r>
    </w:p>
    <w:p>
      <w:r>
        <w:t>En l'espèce, est litigieuse la question de savoir si X._______ a droit à des prestations de l'assurance-invalidité selon le droit suisse. Aux termes de l'art. 29 al. 1 LAI, le droit à la rente d'invalidité prend naissance au plus tôt à l'échéance d'une période de six mois à compter de la date à laquelle la personne assurée a fait valoir son droit aux prestations (cf. art. 29 al. 1 LAI). Le recourant ayant déposé sa demande de prestations AI le 20 décembre 2008, le Tribunal peut alors se limiter à examiner si et dans quelle mesure X._______ avait droit à des prestations d'assurance le 20 juin 2009 ou si le droit à une rente est né entre cette date et le 20 décembre 2010, date de la décision attaquée marquant la limite dans le temps du pouvoir d'examen de l'autorité de recours (ATF 129 V 1 consid. 2.1, 121 V 362 consid. 1b). La documentation médicale postérieure au 20 décembre 2010 ne peut être prise en compte que dans la mesure où elle permet une meilleure compréhension de la situation médicale de l'assuré avant cette date.</w:t>
      </w:r>
    </w:p>
    <w:p>
      <w:r>
        <w:rPr>
          <w:b/>
        </w:rPr>
        <w:t>E. 6</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En l'occurrence, X._______, ayant cotisé depuis 1982 (AI pce 7), remplit la condition liée à la durée minimale de cotisations. Il reste à examiner si l'assuré est invalide au sens de la loi.</w:t>
      </w:r>
    </w:p>
    <w:p>
      <w:r>
        <w:rPr>
          <w:b/>
        </w:rPr>
        <w:t>E. 7.1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il a présenté une incapacité de travail d'au moins 40% en moyenne durant une année sans interruption notable, - au terme de cette année, il est invalide à 40% au moins.</w:t>
      </w:r>
    </w:p>
    <w:p>
      <w:r>
        <w:rPr>
          <w:b/>
        </w:rPr>
        <w:t>E. 7.2</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 al. 2 LAI dans sa teneur en vigueur jusqu'au 31 décembre 2007 respectivement art. 28a al. 1 LAI dans sa teneur en vigueur depuis le 1er janvier 2008).</w:t>
      </w:r>
    </w:p>
    <w:p>
      <w:r>
        <w:rPr>
          <w:b/>
        </w:rPr>
        <w:t>E. 7.3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et leur résidence habituelle sur le sol de l'un d'eux (cf. l'ALCP, en dérogation à l'art. 29 al. 4 LAI).</w:t>
      </w:r>
    </w:p>
    <w:p>
      <w:r>
        <w:rPr>
          <w:b/>
        </w:rPr>
        <w:t>E. 8.1</w:t>
      </w:r>
    </w:p>
    <w:p>
      <w:r>
        <w:t>Le juge des assurances sociales qui apprécie les preuves d'office et librement (cf. consid. 2 ci-dessus) doit examiner de manière objective tous les moyens de preuve, quelle que soit leur provenance, puis décider si les documents à disposition permettent de porter un jugement valable sur le droit litigieux.</w:t>
      </w:r>
    </w:p>
    <w:p>
      <w:r>
        <w:rPr>
          <w:b/>
        </w:rPr>
        <w:t>E. 8.2</w:t>
      </w:r>
    </w:p>
    <w:p>
      <w:r>
        <w:t>La jurisprudence a posé des lignes directrices en ce qui concerne la manière d'apprécier certains types d'expertise ou de rapports médicaux. L'OAI-GE les a exposé correctement dans le cadre de la présente procédure. Ainsi, avant de conférer pleine valeur probante à un rapport médical, le Tribunal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Bien entendu, il importe que le médecin consulté dispose de la qualification médicale déterminante (arrêt du Tribunal fédéral 9C_1059/2009 du 4 août 2010 consid. 1.2). Une expertise médicale a pour but d'éclairer les aspects médicaux d'un état de fait donné grâce à des connaissances spéciales de l'expert. Sans motifs impératifs, il n'y a donc pas lieu de s'écarter des conclusions convaincantes d'une expertise médicale (cf. ATF 125 V 351 consid. 3b/aa). Une expertise médicale établie par le SMR qui se fonde sur des examens effectués par lui-même, dispose d'une pleine valeur probante si elle répond aux exigences jurisprudentielles précitées (arrêt du Tribunal fédéral 9C_323/2009 du 14 juillet 2009 consid. 4.3.1). Le simple fait que le médecin consulté est lié à l'assureur par un rapport de travail ne permet pas de douter de l'objectivité de son appréciation (ATF 125 V 351 consid. 3b/ee).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et les références citées, voir également à cet égard arrêt du Tribunal fédéral 9C_24/2008 du 27 mai 2008 consid. 2.3.2, Plädoyer 2009 p. 72 ss).</w:t>
      </w:r>
    </w:p>
    <w:p>
      <w:r>
        <w:rPr>
          <w:b/>
        </w:rPr>
        <w:t>E. 9.1</w:t>
      </w:r>
    </w:p>
    <w:p>
      <w:r>
        <w:t>Dans le cas concret, X._______, qui a été opéré le 22 février 2008 pour une hernie discale L1-L2, se plaint de douleurs au bas du dos ainsi que de douleurs et de paresthésies dans la jambe droite. Le Dr Q._______, neurologue, parle de discopathies L1-L2 (pincement, rétrolisthésis, sclérose de plaques terminales etc. [rapport d'expertise du 2 juillet 2009, AI pce 42 pp. 3 à 11]), le Dr S._______, rhumatologue, du SMR de lombopygialgies persistantes et de douleurs neurogènes (rapport de l'examen rhumatologique du 14 juin 2010 [AI pce 57]) et le Dr M._______, le médecin traitant, de lombo-sciatalgies droites parésiantes chroniques (rapport médical du 2 février 2009 [AI pce 13 p. 1-4]). L'assuré souffre aussi d'un trouble d'adaptation avec caractéristiques émotionnelles mixtes (rapport médical du 31 août 2009 du Dr R._______ [AI pce 52]). Sont litigieuses en l'espèce, les répercussions de ces atteintes à la santé sur la capacité de travail du recourant.</w:t>
      </w:r>
    </w:p>
    <w:p>
      <w:r>
        <w:rPr>
          <w:b/>
        </w:rPr>
        <w:t>E. 9.2</w:t>
      </w:r>
    </w:p>
    <w:p>
      <w:r>
        <w:t>L'OAIE a basé sa décision contestée sur l'avis du Dr S._______ qui a attesté à l'assuré une incapacité de travail totale du 10 décembre 2007 au 15 mai 2008 et reconnu une capacité de travail est de 50% à partir du 16 mai 2008 et de 65% un mois après (AI pce 57), l'assuré pouvant travailler deux fois trois heures par jour - ce qui lui permet d'avoir une pause plus importante à midi - avec une diminution de 10% de rendement pour une pause supplémentaire de cinq minutes par heure. Ce médecin considère l'activité habituelle comme adaptée à l'état de santé du recourant. Le Tribunal constate que le Dr S._______ a pris en considération l'entier du dossier médical versé en cause, son examen de l'assuré est complet, il tient notamment compte des plaintes de celui-ci et il explique en détail les répercussions de l'atteinte à la santé sur la capacité de travail de l'assuré en juxtaposant les limitations fonctionnelles constatées avec l'activité de l'assuré, décrit par ce dernier. Cette expertise bénéficie alors de la pleine valeur probante, remplissant tous les critères décrits par la jurisprudence. Cela étant, le Tribunal remarque que l'assuré souffre de douleurs neurologiques, suite à l'opération de l'hernie discale, le Dr Q._______ notant des discopathies L1-L2 avec pincement et rétrolisthésis etc. (AI pce 42 p. 3 à 11), le Dr S._______ de douleurs neurogènes (AI pce 57] et le Dr M._______ de lombo-sciatalgies droites parésiantes (AI pce 13 p. 1 à 4) ou de paresthésies du membre inférieur droit (TAF pce 1 annexe). L'autorité administrative ne pouvait alors se fonder sur l'unique appréciation du Dr S._______ qui est rhumatologue, mais elle aurait dû approfondir l'aspect neurologique de l'atteinte à la santé de l'assuré. A juste titre, l'autorité n'a pas pris en considération l'estimation de la capacité de travail résiduelle du Dr Q._______, neurologue. Son rapport d'expertise du 2 juillet 2009 ne bénéficie pas de valeur probante, ce médecin ayant retenu à tort que l'assuré touche une rente d'invalidité entière en raison d'un trouble psychiatrique et il n'a pas motivé les raisons pour lesquelles il a attesté une amélioration de l'état de santé à partir de septembre 2009 alors qu'il a examiné X._______ le 3 mars 2009 déjà. Par contre, il aurait appartenu à l'OAI-GE (cf. art. 40 al. 2 RAI) de mettre en oeuvre une autre expertise neurologique. De son côté, l'assuré demandant une demi-rente d'invalidité au moins, s'appuie principalement sur l'avis de son médecin traitant le Dr M._______. Or quand bien même le Tribunal observe que son rapport du 11 janvier 2011, postérieur à la décision mais en relation avec l'état de fait déterminant (cf. consid. 4), est très détaillé et que le médecin explique que son estimation d'une incapacité de travail de 50% au moins est confortée par l'expérience de la réinsertion actuelle de son patient (TAF pce 1 annexe 1), il ne pourra se baser sur ce rapport, l'état de fait étant insuffisamment instruit, une expertise neurologique valable faisant notamment défaut (cf. ci-dessus). De plus, le Tribunal note que l'assuré souffre d'un problème psychique qui majore, d'après les médecins, les douleurs du recourant (cf. notamment rapport du 4 septembre 2008 du Dr J._______ [AI pce 13 p. 21], le rapport du 5 décembre 2008 du Dr F._______ [AI pce 13 p. 26 à 28] et le rapport du 11 janvier 2011 du Dr M._______ [TAF pce 1 annexe 3]). Le SMR a jugé le 31 août 2010 qu'un complément d'examen psychiatrique n'était pas nécessaire (AI pce 59), alors que le Dr S._______ l'a réservé dans son rapport du 14 juin 2010 (AI pce 57) et que le rapport médical du 31 août 2009 du Dr R._______, le psychiatre traitant, sur lequel le SMR s'est appuyé, datait d'une année déjà. L'attestation d'une incapacité de 50% certifiée par le Dr R._______ le 10 janvier 2011 (TAF pce 1 annexe 4), ne pourra pas non plus être retenue par le Tribunal, le psychiatre ne motivant nullement son estimation. Ainsi, il s'avère qu'un examen psychiatrique est également nécessaire afin de clarifier la capacité de travail résiduelle du recourant.</w:t>
      </w:r>
    </w:p>
    <w:p>
      <w:r>
        <w:rPr>
          <w:b/>
        </w:rPr>
        <w:t>E. 10</w:t>
      </w:r>
    </w:p>
    <w:p>
      <w:r>
        <w:t>En conclusion, la décision du 20 décembre 2010 se fonde sur une constatation lacunaire des faits relatifs à la capacité de travail du recourant. Elle doit être annulée et la cause renvoyée à l'autorité compétente, en application de l'art. 61 al. 1 PA. Bien que le renvoi de l'affaire doive rester exceptionnel, il l'est justifié en l'espèce, conformément à la jurisprudence du Tribunal fédéral, en raison de l'importance des lacunes constatées et des informations nombreuses à recueillir (cf. ATF 137 V 210 consid. 4.4.1.4). Le complément d'instruction comprendra notamment la réalisation d'une expertise neurologique et psychiatrique pluridisciplinaire qui tiendra notamment compte des contestations et conclusions du Dr S._______ du 14 juin 2010 et du Dr M._______ du 11 janvier 2011.</w:t>
      </w:r>
    </w:p>
    <w:p>
      <w:r>
        <w:rPr>
          <w:b/>
        </w:rPr>
        <w:t>E. 11.1</w:t>
      </w:r>
    </w:p>
    <w:p>
      <w:r>
        <w:t>Au vu de l'issue du litige, il n'est pas perçu de frais de procédure (cf. art. 63 PA). En conséquence, l'avance de frais de Fr. 400.- déjà versée lui sera restituée une fois le présent arrêt entré en force.</w:t>
      </w:r>
    </w:p>
    <w:p>
      <w:r>
        <w:rPr>
          <w:b/>
        </w:rPr>
        <w:t>E. 11.2</w:t>
      </w:r>
    </w:p>
    <w:p>
      <w:r>
        <w:t>Il reste à examiner la question des dépens relatifs à la procédure devant l'autorité de céans. L'art. 64 PA et l'art. 7 du règlement du 21 février 2008 concernant les frais, dépens et indemnités fixés par le Tribunal administratif fédéral (FITAF, RS173.320.2)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a consisté principalement dans la rédaction d'un recours de 4 pages accompagné d'un bordereau de 9 pièces, d'une réplique de 4 pages et de deux prises de position supplémentaires. Il se justifie, eu égard à ce qui précède, d'allouer au recourant une indemnité à titre de dépens fixée à Fr. 1'500.- (avec frais, sans TVA [arrêts du Tribunal administratif fédéral C_738/2010 du 20 août 2012 consid. 8.2, C-6983/2009 du 12 avril 2010 consid. 3.2]), à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