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C-5319/2012 vom 14. Juni 2013</w:t>
      </w:r>
    </w:p>
    <w:p>
      <w:r>
        <w:t>Bundesverwaltungsgericht, 2013-06-14, DE</w:t>
      </w:r>
    </w:p>
    <w:p>
      <w:r>
        <w:rPr>
          <w:b/>
        </w:rPr>
        <w:t xml:space="preserve">Quelle: </w:t>
      </w:r>
      <w:r>
        <w:t>https://mcp.opencaselaw.ch/entscheid/bvger_C-5319_2012</w:t>
      </w:r>
    </w:p>
    <w:p>
      <w:r>
        <w:t>FR: TAF C-5319/2012 du 14 juin 2013</w:t>
      </w:r>
    </w:p>
    <w:p>
      <w:r>
        <w:t>IT: TAF C-5319/2012 del 14 giugno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67 Abs. 1 des Bundesgesetzes vom 16. Dezember 2005 über die Ausländerinnen und Ausländer (AuG, SR 142.20) verfügt das BFM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BFM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 die per 9. April 2013 die in den hier relevanten Punkten gleichlautenden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 11 i.V.m. Art. 52 Abs. 1 SIS-II-Verordnung) - wird ein Einreiseverbot gegen eine Person, die nicht das Bürgerrecht ei­nes Schengen-Staates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4.1</w:t>
      </w:r>
    </w:p>
    <w:p>
      <w:r>
        <w:t>Die Vorinstanz begründet ihre Verfügung im Wesentlichen damit, dass der Beschwerdeführer - aufgrund der Dublin-Assoziierungsabkommen aus der Schweiz weggewiesen - innerhalb der angesetzten Frist nicht ausgereist sei, er während seines Aufenthalts in der Schweiz Sozialhilfekosten verursacht und in Ausschaffungshaft habe versetzt werden müssen. Damit beruft sie sich implizit auf Fernhaltegründe im Sinne von Art. 67 Abs. 1 Bst. b und Abs. 2 Bst. b und c AuG.</w:t>
      </w:r>
    </w:p>
    <w:p>
      <w:r>
        <w:rPr>
          <w:b/>
        </w:rPr>
        <w:t>E. 4.2</w:t>
      </w:r>
    </w:p>
    <w:p>
      <w:r>
        <w:t>In seiner Rechtsmitteleingabe vom 9. Oktober 2012 stellt der Beschwerdeführer nicht in Abrede, die von der Vorinstanz aufgeführten Fernhaltegründe gesetzt zu haben. Er beschränkt sich vielmehr auf die Rüge fehlender Verhältnismässigkeit bzw. Angemessenheit des gegen ihn verhängten Einreiseverbots. Darauf wird an anderer Stelle (E. 5 nachfolgend) einzugehen sein.</w:t>
      </w:r>
    </w:p>
    <w:p>
      <w:r>
        <w:rPr>
          <w:b/>
        </w:rPr>
        <w:t>E. 4.3</w:t>
      </w:r>
    </w:p>
    <w:p>
      <w:r>
        <w:t>Es besteht kein Anlass daran zu zweifeln, dass der Beschwerdeführer mit seinem Verhalten Fernhaltegründe der soeben erwähnten Art gesetzt hat. Zwar wurde er nur sieben Tage nach Eröffnung des Asyl- und Wegweisungsentscheides angehalten. Die Ausreisefrist war zu diesem Zeitpunkt aber bereits abgelaufen und der Beschwerdeführer hatte - aus den Akten der kantonalen Migrationsbehörde zu schliessen - weder Anstalten getroffen noch die erkennbare Absicht, sich der Ausreiseverpflichtung zu unterziehen. Die Folge davon war denn auch seine Versetzung in Ausschaffungshaft.</w:t>
      </w:r>
    </w:p>
    <w:p>
      <w:r>
        <w:rPr>
          <w:b/>
        </w:rPr>
        <w:t>E. 5.1</w:t>
      </w:r>
    </w:p>
    <w:p>
      <w:r>
        <w:t>Es bleibt zu prüfen, ob die gegen die Beschwerdeführerin angeordnete Massnahme in richtiger Ausübung des Ermessens ergangen und angemessen ist. Dem Grundsatz der Verhältnismässigkeit kommt dabei vorrangige Bedeutung zu.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5.2.1</w:t>
      </w:r>
    </w:p>
    <w:p>
      <w:r>
        <w:t>Das öffentliche Interesse an einer Fernhaltung des Beschwerdeführers ist schon aus objektiver, präventiv-polizeilicher Sicht als gewichtig einzustufen. Im Zusammenhang mit der Einhaltung der ausländerrechtlichen Ordnung kommt den Vorschriften über Einreise und Aufenthalt zentrale Bedeutung zu. Es gilt sicherzustellen, dass sich ausschliesslich Personen in der Schweiz aufhalten, die dazu auch befugt sind, und durchzusetzen, dass andere, welche die Voraussetzungen nicht erfüllen, gar nicht erst einreisen bzw. das Land auf behördliche Anordnung hin auch tatsächlich verlassen. Ein Einreiseverbot wirkt hier einerseits präventiv, indem es andere Ausländerinnen und Ausländer angesichts der nachteiligen Folgen dazu anhält,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u.a. Urteil des Bundesverwaltungsgerichts C-7543/2007 vom 18. März 2008 E. 7.2 mit Hinweisen).</w:t>
      </w:r>
    </w:p>
    <w:p>
      <w:r>
        <w:rPr>
          <w:b/>
        </w:rPr>
        <w:t>E. 5.2.2</w:t>
      </w:r>
    </w:p>
    <w:p>
      <w:r>
        <w:t>Das Verhalten des Beschwerdeführers vor und unmittelbar nach Verhängung des Einreiseverbots erscheint aber auch in subjektiver Hinsicht nicht unproblematisch. Er hat sich über eine behördliche Aufforderung zur Ausreise hinweggesetzt, musste deshalb in Ausschaffungshaft genommen werden, hat sich einer ersten, unbegleiteten Ausschaffung widersetzt und musste schliesslich begleitet ausgeschafft werden, was alles mit nicht unerheblichen Kosten verbunden war, die von der öffentlichen Hand getragen werden mussten.</w:t>
      </w:r>
    </w:p>
    <w:p>
      <w:r>
        <w:rPr>
          <w:b/>
        </w:rPr>
        <w:t>E. 5.3.1</w:t>
      </w:r>
    </w:p>
    <w:p>
      <w:r>
        <w:t>Dem öffentlichen Interesse an seiner Fernhaltung hält der Beschwerdeführer in seiner Rechtsmitteleingabe vom 9. Oktober 2012 in knappen Worten entgegen, er habe einen in der Schweiz lebenden Sohn, was er mit einer Geburtsurkunde und anderen Belegen aktenkundig gemacht habe. Im erstinstanzlichen Verfahren hatte der Beschwerdeführer im Rahmen der Gewährung des rechtlichen Gehörs am 7. September 2012 durch die kantonale Migrationsbehörde protokollieren lassen, er habe einen Sohn mit schweizerischer Staatsbürgerschaft, den er weiterhin besuchen wolle. Zudem habe er eine Freundin in Basel.</w:t>
      </w:r>
    </w:p>
    <w:p>
      <w:r>
        <w:rPr>
          <w:b/>
        </w:rPr>
        <w:t>E. 5.3.2</w:t>
      </w:r>
    </w:p>
    <w:p>
      <w:r>
        <w:t>Die Vorinstanz vertritt in der angefochtenen Verfügung die Auffassung, dass den persönlichen Interessen des Beschwerdeführers an einer Aufrechterhaltung von Kontakten zu seinem Sohn auf andere Weise als durch Besuche in der Schweiz Rechnung getragen werden könne. In zwingenden Fällen stünde die Möglichkeit offen, eine zeitweise Ausserkraftsetzung des Einreiseverbotes zu beantragen.</w:t>
      </w:r>
    </w:p>
    <w:p>
      <w:r>
        <w:rPr>
          <w:b/>
        </w:rPr>
        <w:t>E. 5.3.3</w:t>
      </w:r>
    </w:p>
    <w:p>
      <w:r>
        <w:t>Entgegen der Behauptung des Beschwerdeführers und der Annah­me der Vorinstanz ist aktenmässig nicht erstellt, dass er Vater eines Kindes mit Schweizerbürgerrecht ist, das sich noch dazu in der Schweiz aufhält und zu dem er eine intakte Beziehung unterhält. Aus den Akten der kantonalen Migrationsbehörde Basel-Landschaft ergibt sich einzig, dass der Beschwerdeführer im Asylverfahren am 23. Juli 2012 zu Proto­koll gegeben hatte, er habe aus einer Beziehung mit einer Schweizer Bürgerin einen am 26. Juli 2009 geborenen Sohn, der mit seiner Mutter in Österreich lebe und zu dem er keine Beziehung pflege. Die Zwischenverfügung des Bundesverwaltungsgerichts vom 24. Januar 2013, mit der der Beschwerdeführer unter Androhung der gesetzlichen Folgen aufgefordert wurde, seine persönlichen Interessen an einem möglichst ungehinderten Zugang zur Schweiz näher zu erläutern und gebührend zu belegen, wurde vom Betroffenen bzw. dessen Vertreterin bei der Post nicht abgeholt. Aufgrund der bestehenden Aktenlage kann sich der Beschwerdeführer nicht erfolgreich auf ein Vaterschaftsverhältnis berufen.</w:t>
      </w:r>
    </w:p>
    <w:p>
      <w:r>
        <w:rPr>
          <w:b/>
        </w:rPr>
        <w:t>E. 5.3.4</w:t>
      </w:r>
    </w:p>
    <w:p>
      <w:r>
        <w:t>Unter den gegebenen Umständen besteht auch kein Anlass, die Rechtmässigkeit der Ausschreibung des Einreiseverbots im SIS in Frage zu stellen.</w:t>
      </w:r>
    </w:p>
    <w:p>
      <w:r>
        <w:rPr>
          <w:b/>
        </w:rPr>
        <w:t>E. 5.3.5</w:t>
      </w:r>
    </w:p>
    <w:p>
      <w:r>
        <w:t>Ähnliches wie im Zusammenhang mit dem angeblichen Kindsverhältnis gilt es in Bezug auf die (nur im Rahmen des rechtlichen Gehörs bei der Vorinstanz, nicht aber im Beschwerdeverfahren) geltend gemachte Beziehung zu einer "Freundin in Basel" festzustellen. Auch diese Beziehung wurde nicht in einer Weise offengelegt, die eine Prüfung spezifischer persönlicher Interessen überhaupt erst zuliesse. Es kann nur vermutet werden, dass es sich bei dieser Frau um die Vertreterin im vorliegenden Verfahren handelt, welche allerdings - aus den Akten der kantonalen Migrationsbehörde Basel-Landschaft zu schliessen - im fraglichen Zeitpunkt verheiratet war, in einer ungetrennten Ehe lebte und den Beschwerdeführer im August 2012 überhaupt erst kennen gelernt haben will. Es bedarf keiner weiteren Ausführungen, dass der Beschwerdeführer daraus im vorliegenden Kontext nichts für sich ableiten kann.</w:t>
      </w:r>
    </w:p>
    <w:p>
      <w:r>
        <w:rPr>
          <w:b/>
        </w:rPr>
        <w:t>E. 5.4</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5.5</w:t>
      </w:r>
    </w:p>
    <w:p>
      <w:r>
        <w:t>Der Beschwerdeführer ist nicht Staatsangehöriger eines zum Schengen-Raum gehörigen Staates. Aufgrund der Ausschreibung im SIS ist es ihm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6</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7</w:t>
      </w:r>
    </w:p>
    <w:p>
      <w:r>
        <w:t>Entsprechend dem Ausgang des Verfahrens sind dem Beschwerdeführer die Kosten aufzuerlegen (Art. 63 Abs. 1 VwVG i.V.m. Art. 1, Art. 2 und Art. 3 Bst. b des Reglements vom 21. Februar 2008 über die Kosten und Entschädigungen vor dem Bundesverwaltungsgericht).</w:t>
      </w:r>
    </w:p>
    <w:p>
      <w:r>
        <w:rPr>
          <w:b/>
        </w:rPr>
        <w:t>E. 8</w:t>
      </w:r>
    </w:p>
    <w:p>
      <w:r>
        <w:t>Das Bundesverwaltungsgericht entscheidet in vorliegender Sache endgültig (vgl. Art. 83 Bst. c Ziff. 1 des Bundesgerichtsgesetzes vom 17. Juni 2005 [BGG, SR 173.110]).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