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C-5317/2011 vom 6. Februar 2012</w:t>
      </w:r>
    </w:p>
    <w:p>
      <w:r>
        <w:t>Bundesverwaltungsgericht, 2012-02-06, FR</w:t>
      </w:r>
    </w:p>
    <w:p>
      <w:r>
        <w:rPr>
          <w:b/>
        </w:rPr>
        <w:t xml:space="preserve">Quelle: </w:t>
      </w:r>
      <w:r>
        <w:t>https://mcp.opencaselaw.ch/entscheid/bvger_C-5317_2011</w:t>
      </w:r>
    </w:p>
    <w:p>
      <w:r>
        <w:t>FR: TAF C-5317/2011 du 6 février 2012</w:t>
      </w:r>
    </w:p>
    <w:p>
      <w:r>
        <w:t>IT: TAF C-5317/2011 del 6 febbraio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 a ou 2 LAVS pendant plus de onze mois au total.</w:t>
      </w:r>
    </w:p>
    <w:p>
      <w:r>
        <w:rPr>
          <w:b/>
        </w:rPr>
        <w:t>E. 3.3</w:t>
      </w:r>
    </w:p>
    <w:p>
      <w:r>
        <w:t>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3.4</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w:t>
      </w:r>
    </w:p>
    <w:p>
      <w:r>
        <w:rPr>
          <w:b/>
        </w:rPr>
        <w:t>E. 3.5</w:t>
      </w:r>
    </w:p>
    <w:p>
      <w:r>
        <w:t>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3.6</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3.7</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Dans le cas particulier est contestée la durée de la période de cotisations AVS/AI suisse à la base de la décision d'octroi de la rente. En l'occurrence, la CSC avait retenu une durée de cotisation d'un an et 7 mois basée sur le compte individuel de la recourante duquel il ressortait qu'elle avait travaillé un mois en 1968, 12 mois en 1969 et 6 mois en 1970.</w:t>
      </w:r>
    </w:p>
    <w:p>
      <w:r>
        <w:rPr>
          <w:b/>
        </w:rPr>
        <w:t>E. 4.2</w:t>
      </w:r>
    </w:p>
    <w:p>
      <w:r>
        <w:t>La recourante quant à elle affirme être entrée en Suisse en avril 1968 déjà et avoir travaillé 9 mois en 1968 auprès du même employeur. A l'appui de ses conclusions, elle ne produit aucun certificat de travail ou de salaire attestant la retenue des cotisations sociales ou une convention stipulant le salaire net concernant la période exacte de travail en 1968 et 1970 ; elle a versé au dossier un décompte d'impôt communal pour l'année 1968 portant sur un revenu de Fr. 4'500.-- pour un pro rata de 195 jours.</w:t>
      </w:r>
    </w:p>
    <w:p>
      <w:r>
        <w:rPr>
          <w:b/>
        </w:rPr>
        <w:t>E. 4.3</w:t>
      </w:r>
    </w:p>
    <w:p>
      <w:r>
        <w:t>La Cours de céans observe que la CSC, conformément à la jurisprudence précitée (cf. consid. 3.4 et 3.5), a effectué des investigations poussées auprès des autorités compétentes en Suisse. Les informations tirées de ces administrations n'ont pas permis de trouver trace d'autres périodes de cotisations.</w:t>
      </w:r>
    </w:p>
    <w:p>
      <w:r>
        <w:rPr>
          <w:b/>
        </w:rPr>
        <w:t>E. 4.4</w:t>
      </w:r>
    </w:p>
    <w:p>
      <w:r>
        <w:t>La recourante était au bénéfice d'un permis L (séjour de courte durée) et ne pouvait pas dès lors être considérée comme domiciliée en Suisse, la durée de cotisations pour 1968 doit être fixée uniquement conformément aux Tables (cf. consid. 3.6). Or, à un revenu de Fr. 158.--correspondrait dans la branche économique 50 (hôtellerie et restauration) ou dans la branche 70 (domestiques) à un mois de cotisations. La recourante n'ayant pas apporté la preuve que des cotisations acquittées n'aient pas été enregistrées, le compte individuel ne peut pas être rectifié (cf. consid. 3.5).</w:t>
      </w:r>
    </w:p>
    <w:p>
      <w:r>
        <w:rPr>
          <w:b/>
        </w:rPr>
        <w:t>E. 5</w:t>
      </w:r>
    </w:p>
    <w:p>
      <w:r>
        <w:t>Au vu de ce qui précède, le Tribunal de céans se doit de constater que la CSC a correctement établi la durée de cotisation de la recourante et que dès lors elle s'est justement basée sur une durée de cotisation d'un an et 7 mois et qu'un réexamen du dossier s'avère impossible. Par ailleurs, un examen des autres éléments à la base du calcul de rente permet de conclure que le montant attribué est correct.</w:t>
      </w:r>
    </w:p>
    <w:p>
      <w:r>
        <w:rPr>
          <w:b/>
        </w:rPr>
        <w:t>E. 6</w:t>
      </w:r>
    </w:p>
    <w:p>
      <w:r>
        <w:t>Il appert que le recours est manifestement infondé. Il convient donc de statuer sur le présent litige dans une procédure à juge unique en application de l'art. 85bis al. 3 LAVS en relation avec l'art. 23 al. 2 LTAF.</w:t>
      </w:r>
    </w:p>
    <w:p>
      <w:r>
        <w:rPr>
          <w:b/>
        </w:rPr>
        <w:t>E. 7.1</w:t>
      </w:r>
    </w:p>
    <w:p>
      <w:r>
        <w:t>Il n'est pas perçu de frais de procédure (art. 85bis al. 2 LAVS).</w:t>
      </w:r>
    </w:p>
    <w:p>
      <w:r>
        <w:rPr>
          <w:b/>
        </w:rPr>
        <w:t>E. 7.2</w:t>
      </w:r>
    </w:p>
    <w:p>
      <w:r>
        <w:t>Il n'est pas alloué de dépens (art. 7 al. 1 et 3 du règlement du 21 février 2008 concernant les frais, dépens et indemnités fixés par le Tribunal administratif fédéral [FITAF, RS 173.320.2]). (dispositif à la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