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C-5312/2021 vom 24. Februar 2022</w:t>
      </w:r>
    </w:p>
    <w:p>
      <w:r>
        <w:t>Bundesverwaltungsgericht, 2022-02-24, DE</w:t>
      </w:r>
    </w:p>
    <w:p>
      <w:r>
        <w:rPr>
          <w:b/>
        </w:rPr>
        <w:t xml:space="preserve">Quelle: </w:t>
      </w:r>
      <w:r>
        <w:t>https://mcp.opencaselaw.ch/entscheid/bvger_C-5312_2021</w:t>
      </w:r>
    </w:p>
    <w:p>
      <w:r>
        <w:t>FR: TAF C-5312/2021 du 24 février 2022</w:t>
      </w:r>
    </w:p>
    <w:p>
      <w:r>
        <w:t>IT: TAF C-5312/2021 del 24 febbraio 2022</w:t>
      </w:r>
    </w:p>
    <w:p>
      <w:pPr>
        <w:pStyle w:val="Heading2"/>
      </w:pPr>
      <w:r>
        <w:t>Regeste</w:t>
      </w:r>
    </w:p>
    <w:p>
      <w:r>
        <w:t>Alters- und Hinterlassenenversicherung (Übriges)</w:t>
      </w:r>
    </w:p>
    <w:p>
      <w:pPr>
        <w:pStyle w:val="Heading2"/>
      </w:pPr>
      <w:r>
        <w:t>Erwägungen</w:t>
      </w:r>
    </w:p>
    <w:p>
      <w:r>
        <w:rPr>
          <w:b/>
        </w:rPr>
        <w:t>E. 1</w:t>
      </w:r>
    </w:p>
    <w:p>
      <w:r>
        <w:t>Die Beschwerde wird - soweit darauf einzutreten ist - gutgeheissen, der Einspracheentscheid vom 23. November 2021 aufgehoben und die Sache an die Vorinstanz zum Erlass eines materiellen Einspracheentscheids zurückgewiesen.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BSV.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