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C-530/2010 vom 12. Januar 2011</w:t>
      </w:r>
    </w:p>
    <w:p>
      <w:r>
        <w:t>Bundesverwaltungsgericht, 2011-01-12, DE</w:t>
      </w:r>
    </w:p>
    <w:p>
      <w:r>
        <w:rPr>
          <w:b/>
        </w:rPr>
        <w:t xml:space="preserve">Quelle: </w:t>
      </w:r>
      <w:r>
        <w:t>https://mcp.opencaselaw.ch/entscheid/bvger_C-530_2010</w:t>
      </w:r>
    </w:p>
    <w:p>
      <w:r>
        <w:t>FR: TAF C-530/2010 du 12 janvier 2011</w:t>
      </w:r>
    </w:p>
    <w:p>
      <w:r>
        <w:t>IT: TAF C-530/2010 del 12 gennaio 2011</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Darunter fallen u.a. Verfügungen des BFM betreffend Verweigerung der Zustimmung zur Erteilung einer Aufenthaltsbewilligung gemäss Art. 14 Abs. 2 AsylG. Das Bundesverwal­tungsgericht entscheidet in diesem Bereich endgültig (vgl. Art. 1 Abs. 2 VGG i.V.m. Art. 83 Bst. c Ziff. 2 des Bundesgerichtsgesetzes vom 17. Juni 2005 [BGG, SR 173.110], siehe in Bezug auf Art. 14 Abs. 2 AsylG auch das Urteil des Bundesgerichts 2C_692/2010 vom 13. September 2010 E. 3).</w:t>
      </w:r>
    </w:p>
    <w:p>
      <w:r>
        <w:rPr>
          <w:b/>
        </w:rPr>
        <w:t>E. 1.2</w:t>
      </w:r>
    </w:p>
    <w:p>
      <w:r>
        <w:t>Das Verfahren richtet sich nach dem VwVG, dem Verwaltungs­gerichtsgesetz und dem Bundesgerichtsgesetz, soweit das Asylgesetz - sofern anwendbar - nichts anderes bestimmt (Art. 6 AsylG).</w:t>
      </w:r>
    </w:p>
    <w:p>
      <w:r>
        <w:rPr>
          <w:b/>
        </w:rPr>
        <w:t>E. 1.3</w:t>
      </w:r>
    </w:p>
    <w:p>
      <w:r>
        <w:t>Die Beschwerdeführenden sind als Verfügungsadressaten gemäss Art. 48 Abs. 1 VwVG zur Beschwerde legitimiert. Auf die frist- und formgerecht eingereichte Beschwerde ist somit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3.1</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(vgl. dazu das Urteil des Bundesgerichts 2C_853/2008 vom 28. Januar 2009 E. 3.1).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Peter Uebersax/Beat Rudin/Thomas Hugi Yar/Thomas Geiser [Hrsg.], Ausländerrecht, 2. Auflage Basel 2009, Rz. 9.35; zur Rechtsnatur dieses Verfahrens vgl. Urteil des Bundesverwaltungsgerichts C-7265/2007 vom 24. März 2010 E. 3).</w:t>
      </w:r>
    </w:p>
    <w:p>
      <w:r>
        <w:rPr>
          <w:b/>
        </w:rPr>
        <w:t>E. 3.2</w:t>
      </w:r>
    </w:p>
    <w:p>
      <w:r>
        <w:t>Bereits vor der Revision vom 16. Dezember 2005 sah das Asyl­gesetz in aArt. 44 Abs. 3 bis 5 die Möglichkeit vor, in Fällen einer schwerwiegenden persönlichen Notlage die vorläufige Aufnahme an­zuordnen, sofern vier Jahre nach Einreichen des Asylgesuchs noch kein rechtskräftiger Entscheid er­gangen war. Bereits rechtskräftig ab­gewiesene Asylsuchende waren von der Möglichkeit der vorläufigen Aufnahme ausgeschlossen. Die nunmehr geltende Regelung von Art. 14 Abs. 2 AsylG enthält nicht nur eine Ausweitung des An­wendungsbereiches auf rechtskräftig abgewiesene Asylsuchende, sondern bringt der betroffenen Person auch insoweit eine rechtliche Besserstellung, als ihr eine Aufenthaltsbewilligung erteilt und nicht mehr nur die vorläufige Aufnahme gewährt werden kann (zur Ent­stehung des heutigen Art. 14 Abs. 2 AsylG vgl. BVGE 2009/40 E. 3.1).</w:t>
      </w:r>
    </w:p>
    <w:p>
      <w:r>
        <w:rPr>
          <w:b/>
        </w:rPr>
        <w:t>E. 4.1</w:t>
      </w:r>
    </w:p>
    <w:p>
      <w:r>
        <w:t>Die Beschwerdeführenden halten sich seit Einreichung des Asyl­gesuches mehr als fünf Jahre in der Schweiz auf. Die in Art. 14 Abs. 2 Bst. a AsylG genannte Anforderung ist damit erfüllt. Das Bundesver­waltungsgericht stellt jedoch fest, dass die Familie A. _______ vom 26. März 2007 bis 22. August 2007 untergetaucht war (vgl. Sachverhalt Bst. C vorstehend), der Aufenthaltsort der Betroffenen den Behörden, konkret dem Amt für Migration des Kantons Luzern, damals mit anderen Worten nicht immer bekannt gewesen ist (Art. 14 Abs. 2 Bst. b AsylG). Zu prüfen gilt es daher vorweg, ob es sich um ein zwingendes Erfordernis handelt bzw. ob die drei Voraussetzungen von Art. 14 Abs. 2 AsylG (siehe E. 3.1 hiervor) kumulativ erfüllt sein müssen.</w:t>
      </w:r>
    </w:p>
    <w:p>
      <w:r>
        <w:rPr>
          <w:b/>
        </w:rPr>
        <w:t>E. 4.2</w:t>
      </w:r>
    </w:p>
    <w:p>
      <w:r>
        <w:t>Ausgangspunkt jeder Gesetzesauslegung bildet der Wortlaut einer Bestimmung. Ist der Text nicht ganz klar oder sind verschiedene Interpretationen möglich, so muss nach seiner wahren Tragweite ge­sucht werden, unter Berücksichtigung aller Auslegungselemente; dabei kommt es namentlich auf die Entstehungsgeschichte der Norm und ihren Zweck, die dem Text zu Grunde liegenden Wertungen sowie auf den Sinnzusammenhang an, in dem die Norm steht. Ist der Rechtssatz hingegen klar, kann vom Wortlaut nur abgewichen werden, wenn triftige Gründe für die Annahme sprechen, dass er nicht den wahren Sinn der Vorschrift wiedergibt und zu Resultaten führt, welche der Regelungsabsicht des Gesetzgebers zuwiderlaufen und das Ge­rechtigkeitsempfinden oder das Gleichbehandlungsgebot verletzen. Solche Gründe können sich aus der Entstehungsgeschichte, aus Sinn und Zweck der Norm oder aus dem Zusammenhang mit anderen Gesetzesbestimmungen ergeben (zum Ganzen vgl. BGE 135 IV 113 E. 2.4.2 S. 116 f. mit Hinweisen).</w:t>
      </w:r>
    </w:p>
    <w:p>
      <w:r>
        <w:rPr>
          <w:b/>
        </w:rPr>
        <w:t>E. 4.3</w:t>
      </w:r>
    </w:p>
    <w:p>
      <w:r>
        <w:t>Der Wortlaut von Art. 14 Abs. 2 Bst. b AsylG ist klar. Auch zwischen dem deutschen, dem französischen ("le lieu de séjour de la personne concernée a toujours été connu des autorités") und dem italienischen Text ("il luogo di soggiorno del'interessato era sempre noto alle autorità") lassen sich inhaltlich keine Unterschiede erkennen (vgl. Urteil des Bundesverwaltungsgerichts C-4120/2008 vom 23. Dezember 2009 E. 7.2). Dass die Bekanntgabe des Aufenthaltsortes, wie von der Parteivertreterin behauptet, nicht ein vom Gesetzgeber beabsichtigtes formelles Kriterium darstelle, entbehrt vor diesem Hintergrund jeglicher Grundlage. Solches ergibt sich auch nicht aus den von ihr bei der Vorinstanz eingereichten Unterlagen (vgl. Beilagen zur Stellungnahme vom 6. Juli 2009). Vielmehr bestehen keine Zweifel darüber, dass eine um Asyl nachsuchende Person nur dann in den Genuss einer Aufent­haltsbewilligung gemäss Art. 14 Abs. 2 AsylG kommen kann, wenn ihr Aufenthaltsort den Behörden immer bekannt war. In diesem Sinne hat sich auch ein Teil der Lehre geäussert. Wer während des Asylverfahrens oder nach rechtskräftiger Abweisung des Asylgesuches untertaucht, soll demnach keine humanitäre Aufenthaltsbewilligung er­halten (vgl. etwa Peter Nideröst, Sans papiers in der Schweiz, a.a.O, Rz. 9.38 S. 385). Auch dass die drei Voraussetzungen zur Regelung eines Härtefalles kumulativ erfüllt sein müssen, bedarf aufgrund der eindeutigen Formulierungen in Art. 14 Abs. 2 Bst. a - c AsylG und der vorangehenden Ausführungen keiner weiterer Erläuterungen und entspricht im Übrigen gängiger Praxis (zum Ganzen siehe beispielsweise die Urteile des Bundes­verwaltungsgerichts C-7265/2007 vom 24. März 2010 E. 3.2, C-4120/2008 vom 23. Dezember 2009 E. 7.1 - 7.3 oder C-4306/2007 vom 11. Dezember 2009 E. 3.2). Es besteht für die rechtsanwendende Behörde daher kein Ermessensspielraum, um vom genannten Erfordernis abzuweichen.</w:t>
      </w:r>
    </w:p>
    <w:p>
      <w:r>
        <w:rPr>
          <w:b/>
        </w:rPr>
        <w:t>E. 4.4</w:t>
      </w:r>
    </w:p>
    <w:p>
      <w:r>
        <w:t>Wie sich dem Sachverhalt entnehmen lässt, hätten die Be­schwerdeführenden das Land nach dem Urteil der ARK vom 24. Oktober 2006 bis zum 5. Januar 2007 verlassen müssen. Die Beschwerdeführer 1 und 2 reisten indessen nicht aus und bemühten sich auch nicht um gültige Identitätspapiere. Die kantonale Migrationsbehörde stellte deshalb bei der Vorinstanz ein Gesuch um Vollzugsunterstützung. Am 26. März 2007 verschwanden die Beschwerdeführenden aus der ihnen zugewiesenen Asylunterkunft und tauchten bis zum 22. August 2007 unter. Die Wiederanmeldung beim Amt für Migration des Kantons Luzern erfolgte erst am 23. August 2007. Die Voraussetzungen von Art. 14 Abs. 2 Bst. b AsylG sind somit unbestrittenermassen nicht erfüllt. Die Berufung der Parteivertreterin auf entschuldbare Gründe für das Untertauchen ihrer Mandanten ändert daran nichts. Abgesehen davon hat die ARK die Asylgesuche der Betroffenen mit Urteil vom 24. Oktober 2006 rechtskräftig abgewiesen und festgestellt, die Wegweisung der Familie in ihren Heimatstaat sei möglich, zulässig und zumutbar. Bei dieser Sachlage erübrigt sich eine materielle Beurteilung der Härtefallkriterien im Sinne von Art. 14 Abs. 2 Bst. c AsylG und damit auch eine Prüfung der Angelegenheit unter dem Blickwinkel von Art. 31 VZAE.</w:t>
      </w:r>
    </w:p>
    <w:p>
      <w:r>
        <w:rPr>
          <w:b/>
        </w:rPr>
        <w:t>E. 4.5</w:t>
      </w:r>
    </w:p>
    <w:p>
      <w:r>
        <w:t>Was die sonstigen Einwände anbelangt, so wird auf Beschwerde­ebene verkannt, dass sowohl Untersuchungsmaxime als auch Ver­hältnismässigkeitsgebot sich auf die Würdigung des entscheiderheb­lichen Sachverhalts beschränken (vgl. etwa Patrick L. Krauskopf/Katrin Emmenegger, in: Bernhard Waldmann/Philippe Weissenberger [Hrsg.], Praxiskommentar zum Bundesgesetz über das Verwaltungsverfahren, Zürich usw. 2009, Rz. 20 ff. insbesondere 28 - 32 zu Art. 12; zur antizipierten Beweiswürdigung vgl. Art. 33 Abs. 1 VwVG oder BGE 131 I 153 E. 3 S. 157 f.). Dass die Bekanntheit des Aufenthaltsortes ein unter dem Gesichtspunkt der Verhältnismässigkeit grundsätzlich zulässiges Erfordernis für die Erteilung einer Härtefallbewilligung darstellt, wurde schon an anderer Stelle dargetan (siehe E. 4.3 hiervor). Es ist mithin nicht zu beanstanden, dass die Vorinstanz Sachverhaltsfeststellung und Rechtsanwendung im Wesentlichen auf den Aspekt von Art. 14 Abs. 2 Bst. b AsylG begrenzte. Zusätzlicher Vorkehren oder Aus­führungen bedurfte es von daher nicht.</w:t>
      </w:r>
    </w:p>
    <w:p>
      <w:r>
        <w:rPr>
          <w:b/>
        </w:rPr>
        <w:t>E. 4.6</w:t>
      </w:r>
    </w:p>
    <w:p>
      <w:r>
        <w:t>Schliesslich wird auf die Kinderrechtekonvention verwiesen. Gemäss Art. 3 Abs. 1 KRK ist das Kindeswohl bei allen Massnahmen, die Minderjährige betreffen, ein Aspekt von vorrangiger Bedeutung. In Bezug auf die Erteilung ausländerrechtlicher Bewilligungen lassen sich daraus allerdings keine gerichtlich durchsetzbaren Ansprüche ableiten (vgl. BGE 126 II 377 E. 5d S. 390 f. mit Hinweisen; ferner Urteile des Bundesgerichts 2A.718/2006 vom 21. März 2007 E. 4.3 und 2A.342/2002 vom 15. August 2002 E. 1.2 oder das in dieser Angelegenheit ergangene Urteil 2D_137/2008 vom 12. Dezember 2008). Zumindest im Rahmen einer völkerrechtskonformen Auslegung des Landesrechts ist das Kindeswohl aber zu berücksichtigen. Dem wird in der Praxis insofern Rechnung getragen, als der fort­geschrittenen sozialen und schulischen Integration von Kindern in der Schweiz in der Regel besonderes Gewicht beigemessen wird (vgl. beispielsweise Urteile des Bundesverwaltungsgerichts C-873/2008 vom 5. Januar 2010 E. 7.5 oder C-4306/2007 vom 11. Dezember 2009 E. 7.4). Hierfür besteht unter den vorliegenden Begebenheiten indessen kein Raum, scheitert die Erteilung eines Anwesenheitsrechts wie mehrfach er­wähnt doch bereits am Erfordernis von Art. 14 Abs. 2 Bst. b AsylG. Über letztere Voraussetzung kann aus grundsätzlichen Überlegungen (insbesondere Gründen der Gesetzmässigkeit behördlichen Handelns, der Rechtsgleichheit und Rechtssicherheit) selbst unter Miteinbezug der KRK nicht hinweggegangen werden. Nicht anders verhält es sich mit den im Rahmen der Stellungnahme zur Vernehmlassung der Vorinstanz erhobenen Rügen hinsichtlich Art. 8 EMRK. Gemäss Art. 190 der Bundesverfassung der Schweizerischen Eidgenossenschaft vom 18. April 1999 (BV, SR 101) ist das Bundesverwaltungsgericht an Bundesgesetze gebunden. Streitgegenstand und mithin Anfechtungsgegenstand ist - wie mehrfach erwähnt - eine Verfügung zur Aufenthaltsregelung gemäss Art. 14 Abs. 2 AsylG. Indem die Beschwerdeführenden eine der zwingenden Voraussetzungen dazu nicht erfüllen, kann die gewünschte Aufenthaltsregelung beschwerdeweise nicht auf eine andere Rechtsgrundlage gestellt werden.</w:t>
      </w:r>
    </w:p>
    <w:p>
      <w:r>
        <w:rPr>
          <w:b/>
        </w:rPr>
        <w:t>E. 5</w:t>
      </w:r>
    </w:p>
    <w:p>
      <w:r>
        <w:t>Zusammenfassend ist festzustellen, dass die Beschwerdeführenden das Kriterium von Art. 14 Abs. 2 Bst. b AsylG nicht erfüllen. Die Vorinstanz hat die Zustimmung zu einer Aufenthaltsregelung gemäss Art. 14 Abs. 2 AsylG daher zu Recht verweigert.</w:t>
      </w:r>
    </w:p>
    <w:p>
      <w:r>
        <w:rPr>
          <w:b/>
        </w:rPr>
        <w:t>E. 6</w:t>
      </w:r>
    </w:p>
    <w:p>
      <w:r>
        <w:t>Aus den vorstehenden Erwägungen ergibt sich, dass die angefochtene Verfügung rechtmässig ist (Art. 49 VwVG). Die Beschwerde ist demzufolge abzuweisen.</w:t>
      </w:r>
    </w:p>
    <w:p>
      <w:r>
        <w:rPr>
          <w:b/>
        </w:rPr>
        <w:t>E. 7</w:t>
      </w:r>
    </w:p>
    <w:p>
      <w:r>
        <w:t>Bei diesem Ausgang des Verfahrens sind den Beschwerdeführenden die Kosten aufzuerlegen (Art. 63 Abs. 1 VwVG i.V.m. Art. 1 ff. des Regle­ments vom 21. Februar 2008 über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