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C-530/2009 vom 17. März 2010</w:t>
      </w:r>
    </w:p>
    <w:p>
      <w:r>
        <w:t>Bundesverwaltungsgericht, 2010-03-17, FR</w:t>
      </w:r>
    </w:p>
    <w:p>
      <w:r>
        <w:rPr>
          <w:b/>
        </w:rPr>
        <w:t xml:space="preserve">Quelle: </w:t>
      </w:r>
      <w:r>
        <w:t>https://mcp.opencaselaw.ch/entscheid/bvger_C-530_2009</w:t>
      </w:r>
    </w:p>
    <w:p>
      <w:r>
        <w:t>FR: TAF C-530/2009 du 17 mars 2010</w:t>
      </w:r>
    </w:p>
    <w:p>
      <w:r>
        <w:t>IT: TAF C-530/2009 del 17 marzo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et B._______ ont qualité pour recourir (art. 48 al. 1 PA). Présenté dans la forme et les délais prescrits par la loi, le recours est recevable (cf. art. 50 et 52 PA).</w:t>
      </w:r>
    </w:p>
    <w:p>
      <w:r>
        <w:rPr>
          <w:b/>
        </w:rPr>
        <w:t>E. 2</w:t>
      </w:r>
    </w:p>
    <w:p>
      <w:r>
        <w:t>Les recourantes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effectivement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(sur les détails de cette problématique, cf. ATAF 2009/27 consid. 5).</w:t>
      </w:r>
    </w:p>
    <w:p>
      <w:r>
        <w:rPr>
          <w:b/>
        </w:rPr>
        <w:t>E. 6</w:t>
      </w:r>
    </w:p>
    <w:p>
      <w:r>
        <w:t>Le Règlement (CE) no 539/2001 du Conseil du 15 mars 2001 (JO L 81 du 21 mars 2001, p. 1-7) différencie, en son art. 1 par. 1 et 2, les ressortissants des Etats tiers selon qu'ils sont soumis ou non à l'obligation du visa. Du fait de sa nationalité, B._______ est soumise à l'obligation du visa.</w:t>
      </w:r>
    </w:p>
    <w:p>
      <w:r>
        <w:rPr>
          <w:b/>
        </w:rPr>
        <w:t>E. 7.1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7.2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 5 al. 2 LEtr.</w:t>
      </w:r>
    </w:p>
    <w:p>
      <w:r>
        <w:rPr>
          <w:b/>
        </w:rPr>
        <w:t>E. 7.3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7.4</w:t>
      </w:r>
    </w:p>
    <w:p>
      <w:r>
        <w:t>A ce sujet, il faut prendre en considération la qualité de vie et les conditions économiques et sociales difficiles que connaît l'ensemble de la population du Pérou, pays dont le PIB par habitant était de 3990 USD en 2008. Sur le plan économique, le Pérou a ressenti les premiers effets de la crise économique et financière mondiale dès la fin de l'année 2008, avec notamment la dégradation des termes de l'échange, suite à la baisse de la demande externe et des cours des matières premières et au ralentissement de la demande interne. Le Pérou a lancé, dès le mois de décembre 2008, un plan de relance économique ambitieux, visant essentiellement à soutenir l'emploi et à éviter les difficultés de financement des entreprises. Ce plan a cependant enregistré un important retard dans sa mise en oeuvre. Cela étant, il convient de rappeler que la situation sociale reste très fragile: 48% des Péruviens vivent en dessous du seuil de pauvreté, dont 24% dans l'extrême pauvreté. Enfin, 8% de la population est sans emploi et 60% est sous-employée [source: site internet du Ministère français des affaires étrangères &gt; France-Diplomatie &gt; Pays-zones géo &gt; Pérou &gt; Présentation du Pérou; mise à jour: 13 juillet 2009, consulté le 11 mars 2010]).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7.5</w:t>
      </w:r>
    </w:p>
    <w:p>
      <w:r>
        <w:t>Toutefois, la seule situation dans le pays d'origine ne suffit pas à conclure à l'absence de garantie quant à la sortie de Suisse à l'issue du séjour, toutes les particularités du cas d'espèce devant être prises en considération.</w:t>
      </w:r>
    </w:p>
    <w:p>
      <w:r>
        <w:rPr>
          <w:b/>
        </w:rPr>
        <w:t>E. 8</w:t>
      </w:r>
    </w:p>
    <w:p>
      <w:r>
        <w:t>En l'espèce, il ressort des indications du dossier que B._______, âgée de plus de cinquante-quatre ans, est célibataire et sans enfant, de sorte qu'elle serait à même de se créer une nouvelle existence hors du Pérou sans que cela n'entraîne pour elle de difficultés sur le plan familial. Même si l'invitée a de la famille et des proches dans son pays d'origine et s'il convient d'admettre que de tels liens peuvent, dans une certaine mesure, inciter une personne, au terme du séjour envisagé en Suisse, à retourner dans le pays où elle réside, ils ne sauraient, dans le contexte socio-économique dans lequel se trouve le Pérou et au vu de la situation personnelle de l'intéressée, suffire toutefois, à eux seuls, à garantir son retour dans cet Etat, cela d'autant moins qu'elle dispose d'un réseau social préexistant en Suisse. Certes, les recourantes assurent dans leur pourvoi que B._______ n'a aucunement l'intention de demeurer en Suisse à l'issue du séjour projeté, cela d'autant moins qu'elle travaille en qualité d'administratrice d'un bureau de travail temporaire (cf. demande d'entrée du 19 juin 2008 et pièces jointes). Ses liens professionnels avec son pays d'origine ne paraissent toutefois pas suffisamment étroits pour garantir un retour au Pérou. En effet, son absence pour une période relativement longue de trois mois démontre que sa présence au sein de l'entreprise n'est pas indispensable. Dans ces circonstances, compte tenu du niveau de vie sensiblement plus élevé que présente la Suisse, les autorités helvétiques ne peuvent totalement exclure que l'intéressée ne s'efforce, une fois entrée en ce pays, d'obtenir un titre de séjour. Il ne faut pas perdre de vue que la différence de niveau de vie peut s'avérer déterminante lorsqu'on prend la décision de quitter sa patrie. Elle pourrait agir ainsi, dans l'espoir de trouver, fût-ce de manière temporaire, des conditions meilleures que celles rencontrées dans son pays d'origine, à l'instar de sa soeur A._______ qui, entrée en Suisse avec un visa touristique d'une durée de trois mois le 9 mars 2000, a sollicité la délivrance d'une autorisation de séjour en mai 2000, requête rejetée par décision du SPOP-VD du 5 juin 2000, et a ensuite contracté mariage à Lausanne le 23 mars 2001 avec un ressortissant suisse, alors qu'elle était dépourvue de tout titre de séjour en ce pays. Sur un autre plan, le Tribunal relève que la situation de la recourante n'est pas du tout semblable à celle (invoquée à titre de référence par la recourante) de l'arrêt C-994/2006 du 29 avril 2008, qui traitait le cas d'une ascendante, souhaitant venir rendre visite à sa fille et à ses petits-enfants, alors qu'elle avait déjà été auparavant autorisée à rendre visite à sa parenté en Suisse. Il convient de relever de surcroît que chaque demande fait l'objet d'un examen individuel et que la situation personnelle de B._______, comme mentionnée ci-dessus, ne permet manifestement pas de lui délivrer un visa.</w:t>
      </w:r>
    </w:p>
    <w:p>
      <w:r>
        <w:rPr>
          <w:b/>
        </w:rPr>
        <w:t>E. 9</w:t>
      </w:r>
    </w:p>
    <w:p>
      <w:r>
        <w:t>Cela étant, le désir exprimé par B._______, au demeurant parfaitement compréhensible, de venir en Suisse rendre visite à sa soeur et à la famille de celle-ci ne constitue pas à lui seul un motif justifiant l'octroi d'un visa, à propos duquel elle ne saurait au demeurant se prévaloir d'aucun droit (cf. consid. 3).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(n'émanant d'ailleurs pas uniquement de ressortissants du Pérou)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(cf. consid. 3)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10</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(cf. ATAF 2009/27 consid. 9). De même, A._______ a également indiqué qu'elle était disposée avec son conjoint à déposer une somme d'argent pour garantir le départ de B._______ (cf. recours du 26 janvier 2009 p. 6). Même si la loi (art. 6 al. 3 LEtr) prévoit qu'une caution ou toute autre garantie peut être exigée dans certaines circonstances, il convient derechef de relever que l'évaluation des risques concernant le retour de l'invitée dans son pays repose moins sur le dépôt d'une garantie financière par l'invitante que sur le comportement de l'intéressée elle-même une fois en Suisse (cf. dans ce sens l'arrêt du TAF C-5447/2007 du 20 août 2009, consid. 9). Comme relevé ci-dessus, l'intention que peut manifester une personne de retourner dans sa patrie à l'issue de son séjour, voire son engagement formel à le faire, n'ont aucune force juridique et ne suffisent pas non plus à garantir que son départ interviendra dans les délais prévus.</w:t>
      </w:r>
    </w:p>
    <w:p>
      <w:r>
        <w:rPr>
          <w:b/>
        </w:rPr>
        <w:t>E. 11</w:t>
      </w:r>
    </w:p>
    <w:p>
      <w:r>
        <w:t>Par surabondance, il convient encore de relever qu'un refus d'autorisation d'entrée en Suisse prononcé par les autorités helvétiques n'a pas en l'occurrence pour conséquence d'empêcher B._______ et sa parenté vivant en Suisse de se voir, les intéressés pouvant tout aussi bien se rencontrer hors de Suisse, notamment au Pérou, nonobstant les inconvénients d'ordre pratique ou de convenance personnelle que cela pourrait engendrer.</w:t>
      </w:r>
    </w:p>
    <w:p>
      <w:r>
        <w:rPr>
          <w:b/>
        </w:rPr>
        <w:t>E. 12</w:t>
      </w:r>
    </w:p>
    <w:p>
      <w:r>
        <w:t>Au vu de l'ensemble des circonstances, le TAF estime qu'il ne saurait être reproché à l'ODM d'avoir considéré que le départ de B._______ à l'échéance du visa requis n'était pas suffisamment assuré et, partant, d'avoir refusé la délivrance d'une autorisation d'entrée en Suisse en sa faveur.</w:t>
      </w:r>
    </w:p>
    <w:p>
      <w:r>
        <w:rPr>
          <w:b/>
        </w:rPr>
        <w:t>E. 12.1</w:t>
      </w:r>
    </w:p>
    <w:p>
      <w:r>
        <w:t>Compte tenu des considérants exposés ci-dessus, il appert que, par sa décision du 11 décembre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recourantes, conformément à l'art. 63 al. 1 PA en relation avec l'art. 1, l'art. 2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