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C-5308/2007 vom 3. Dezember 2009</w:t>
      </w:r>
    </w:p>
    <w:p>
      <w:r>
        <w:t>Bundesverwaltungsgericht, 2009-12-03, DE</w:t>
      </w:r>
    </w:p>
    <w:p>
      <w:r>
        <w:rPr>
          <w:b/>
        </w:rPr>
        <w:t xml:space="preserve">Quelle: </w:t>
      </w:r>
      <w:r>
        <w:t>https://mcp.opencaselaw.ch/entscheid/bvger_C-5308_2007</w:t>
      </w:r>
    </w:p>
    <w:p>
      <w:r>
        <w:t>FR: TAF C-5308/2007 du 3 décembre 2009</w:t>
      </w:r>
    </w:p>
    <w:p>
      <w:r>
        <w:t>IT: TAF C-5308/2007 del 3 dicembre 2009</w:t>
      </w:r>
    </w:p>
    <w:p>
      <w:pPr>
        <w:pStyle w:val="Heading2"/>
      </w:pPr>
      <w:r>
        <w:t>Regeste</w:t>
      </w:r>
    </w:p>
    <w:p>
      <w:r>
        <w:t>Einreise</w:t>
      </w:r>
    </w:p>
    <w:p>
      <w:pPr>
        <w:pStyle w:val="Heading2"/>
      </w:pPr>
      <w:r>
        <w:t>Erwägungen</w:t>
      </w:r>
    </w:p>
    <w:p>
      <w:r>
        <w:rPr>
          <w:b/>
        </w:rPr>
        <w:t>E. 1.1</w:t>
      </w:r>
    </w:p>
    <w:p>
      <w:r>
        <w:t>Verfügungen des BFM betreffend Einreisesperren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Beschwerde legitimiert (Art. 48 Abs. 1 VwVG). Auf die frist- und formgerecht eingereichte Beschwerde ist daher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2.2</w:t>
      </w:r>
    </w:p>
    <w:p>
      <w:r>
        <w:t>Am 1. Januar 2008 trat das Bundesgesetz vom 16. Dezember 2005 über die Ausländerinnen und Ausländer (AuG, SR 142.20) in Kraft und löste das bis dahin geltende Bundesgesetz vom 26. März 1931 über Aufenthalt und Niederlassung der Ausländer (ANAG, BS 1 121) ab. In Verfahren, die vor diesem Zeitpunkt eingeleitet wurden, bleibt das bisherige materielle Recht massgebend. Ob das Verfahren auf Gesuch hin oder von Amtes wegen eröffnet wurde, ist entgegen dem zu engen Wortlaut des Art. 126 Abs. 1 AuG ohne rechtliche Relevanz (BVGE 2008/1 E. 2 mit Hinweisen). In casu erging die angefochtene Verfügung vor dem Inkrafttreten des AuG, sodass sich die materielle Beurteilung der Streitsache nach dem bisherigen Recht richtet.</w:t>
      </w:r>
    </w:p>
    <w:p>
      <w:r>
        <w:rPr>
          <w:b/>
        </w:rPr>
        <w:t>E. 2.3</w:t>
      </w:r>
    </w:p>
    <w:p>
      <w:r>
        <w:t>Der Beschwerdeführer ist Staatsangehöriger Sloweniens und als sogenannter Vertragsausländer aus dem Abkommen vom 21. Juni 1999 zwischen der Schweizerischen Eidgenossenschaft einerseits und der Europäischen Gemeinschaft und ihren Mitgliedstaaten andererseits über die Freizügigkeit (Freizügigkeitsabkommen, FZA, SR 0.142.112.681) begünstigt. Die ordentliche Ausländergesetzgebung in Gestalt des ANAG und seiner Ausführungsverordnungen gelangt daher nur soweit zur Anwendung, als das Freizügigkeitsabkommen keine abweichende Regelung kennt oder die ordentliche Ausländergesetzgebung ihm eine vorteilhaftere Rechtsstellung vermittelt (Art. 1 Bst. a ANAG; nicht anders verhält es sich nach neuem Recht, vgl. auch Art. 2 Abs. 2 AuG).</w:t>
      </w:r>
    </w:p>
    <w:p>
      <w:r>
        <w:rPr>
          <w:b/>
        </w:rPr>
        <w:t>E. 3.1</w:t>
      </w:r>
    </w:p>
    <w:p>
      <w:r>
        <w:t>Der Beschwerdeführer rügt in formeller Hinsicht, sein Anspruch auf rechtliches Gehör sei verletzt worden, weil er vor dem Erlass der angefochtenen Verfügung nicht angehört worden sei und sich mangels genügender Begründung der belastenden Verfügung nicht adäquat dagegen habe zur Wehr setzen können.</w:t>
      </w:r>
    </w:p>
    <w:p>
      <w:r>
        <w:rPr>
          <w:b/>
        </w:rPr>
        <w:t>E. 3.2.1</w:t>
      </w:r>
    </w:p>
    <w:p>
      <w:r>
        <w:t>Das Recht des Betroffenen, vor Erlass einer Verfügung angehört zu werden (vgl. Art. 30 Abs. 1 VwVG), stellt einen wesentlichen Teilgehalt des in Art. 29 Abs. 2 der Bundesverfassung der Schweizerischen Eidgenossenschaft vom 18. April 1999 (BV, SR 101) statuierten Anspruchs auf rechtliches Gehör dar (vgl. z. B. BGE 132 II 485 E. 3.2 S. 494, 129 V 73 E. 4.1 S. 74, je mit Hinweisen).</w:t>
      </w:r>
    </w:p>
    <w:p>
      <w:r>
        <w:rPr>
          <w:b/>
        </w:rPr>
        <w:t>E. 3.2.2</w:t>
      </w:r>
    </w:p>
    <w:p>
      <w:r>
        <w:t>Unbestritternermassen wurde der Beschwerdeführer vor Erlass der Einreisesperre nicht angehört. Es bestehen allerdings keine Anhaltspunkte dafür, dass der Vorinstanz die dem Beschwerdeführer zur Last gelegten Widerhandlungen gegen das Betäubungsmittelgesetz bekannt gewesen waren, bevor ihr die kantonale Migrationsbehörde am 4. Juni 2007 ihre Akten mit dem Antrag auf Prüfung einer Fernhaltemassnahme überwies. Auf die Frage der Vorinstanz an die kantonale Fremdenpolizei, ob diese gegenüber dem Beschwerdeführer das rechtliche Gehör bezüglich der beantragten Fernhaltemassnahme gewährt habe, antwortete diese, dass der Beschwerdeführer die Schweiz gleich nach seiner Entlassung aus der Untersuchungshaft verlassen habe. Deshalb sei ihr dies nicht möglich gewesen. Dass die Vorinstanz unter den gegebenen Umständen nicht zunächst versuchte, den Beschwerdeführer im Ausland zu erreichen, sondern zwecks Verhinderung der Wiedereinreise und Vorbeugung der von ihm ausgehenden Gefahr für die öffentliche Ordnung und Sicherheit (siehe dazu weiter unten) sofort eine Einreisesperre erliess, wird durch die Bestimmung des Art. 30 Abs. 2 Bst. e VwVG gedeckt und ist nicht zu beanstanden. Im übrigen war die Vorinstanz entgegen der Auffassung des Beschwerdeführers weder verpflichtet noch auch nur befugt, sich an seinen Rechtsvertreter im Strafverfahren zu halten. Die Rüge des Beschwerdeführers erweist sich deshalb als unbegründet.</w:t>
      </w:r>
    </w:p>
    <w:p>
      <w:r>
        <w:rPr>
          <w:b/>
        </w:rPr>
        <w:t>E. 3.3.1</w:t>
      </w:r>
    </w:p>
    <w:p>
      <w:r>
        <w:t>Gemäss Art. 35 Abs. 1 VwVG sind die Behörden verpflichtet, schriftliche Verfügungen zu begründen. Die Begründungspflicht ist - ebenso wie die Pflicht zur vorgängigen Anhörung - Teilgehalt des Anspruchs auf rechtliches Gehör im Sinne von Art. 29 Abs. 2 BV. Sie gewährleistet dem Verfügungsadressaten die Möglichkeit, wirksam Beschwerde zu führen (vgl. BGE 129 I 232 E 3.2 S. 236; 126 I 97 E. 2b S. 102 f. mit Hinweisen), und verhindert, dass sich die Behörde von unsachgemässen Motiven leiten lässt (vgl. Urteil der Schweizerischen Asylrekurskommission [ARK] vom 31. Oktober 2005, teilweise publ. in: Verwaltungspraxis der Bundesbehörden [VPB] 70.49 E. 5.1 mit Hinweisen).</w:t>
      </w:r>
    </w:p>
    <w:p>
      <w:r>
        <w:rPr>
          <w:b/>
        </w:rPr>
        <w:t>E. 3.3.2</w:t>
      </w:r>
    </w:p>
    <w:p>
      <w:r>
        <w:t>Es trifft zwar zu, dass die Begründung der angefochtenen Verfügung sehr knapp ausgefallen ist und sich im Ergebnis in einem Hinweis auf dem Beschwerdeführer vorgeworfene Widerhandlungen gegen das Betäubungsmittelgesetz erschöpft. Diesbezüglich ist jedoch festzustellen, dass der Beschwerdeführer in casu gestützt auf die angegebene Begründung ohne weiteres in der Lage war, die gegen ihn verfügte Einreisesperre sachgerecht anzufechten. Es ist nicht zu erkennen, inwiefern der geltend gemachte mangelnde Bezug zu einem konkreten Sachverhalt dem Beschwerdeführer die wirksame Wahrnehmung der Parteirechte im Beschwerdeverfahren verunmöglicht haben soll. So wird in der Beschwerde nicht nur auf den der Einreisesperre tatsächlich zugrunde liegenden Sachverhalt Bezug genommen, sondern auch die Einreisesperre als unverhältnismässig im Sinne einer ungenügenden Abwägung zwischen den der Massnahme tatsächlich zugrunde liegenden öffentlichen Interessen und den entgegenstehenden privaten Interessen des Beschwerdeführers gerügt. Sein Einwand ist deshalb als offensichtlich unmassgeblich zurückzuweisen.</w:t>
      </w:r>
    </w:p>
    <w:p>
      <w:r>
        <w:rPr>
          <w:b/>
        </w:rPr>
        <w:t>E. 4.1</w:t>
      </w:r>
    </w:p>
    <w:p>
      <w:r>
        <w:t>Gemäss Art. 13 Abs. 1 ANAG kann die eidgenössische Behörde über unerwünschte Ausländer die Einreisesperre verhängen. Dabei handelt es sich nicht um eine Strafe, sondern um eine Administrativmassnahme zur Abwehr drohender Störungen der öffentlichen Ordnung und Sicherheit sowie anderer unter den Schutz der Fremdenpolizei fallenden Polizeigüter (zum Kreis der Polizeigüter im Fremdenpolizeirecht vgl. BGE 98 Ib 85 E. 2c S. 89, 98 Ib 465 E. 3a S. 467 f.). Die Frage, ob eine Polizeigefahr im dargelegten Sinne besteht, lässt sich naturgemäss nur in Form einer Prognose beurteilen, die sich auf das bisherige Verhalten des Ausländers abstützt. In diesem Sinne gelten Ausländer als "unerwünscht", deren Verhalten in der Vergangenheit darauf schliessen lässt, dass sie nicht willens oder nicht fähig sind, sich in die geltende Ordnung einzufügen, und deren Fernhaltung daher im öffentlichen Interesse liegt. Diese Voraussetzung ist im Falle von ausländischen Staatsangehörigen, die ein gemeinrechtliches Verbrechen oder Vergehen begangen haben, regelmässig erfüllt (vgl. statt vieler Urteil des Bundesverwaltungsgerichts C-507/2007 vom 29. September 2009 E. 4.2 mit Hinweisen; vgl. ferner den Ausweisungstatbestand in Art. 10 Abs. 1 Bst. a ANAG).</w:t>
      </w:r>
    </w:p>
    <w:p>
      <w:r>
        <w:rPr>
          <w:b/>
        </w:rPr>
        <w:t>E. 4.2</w:t>
      </w:r>
    </w:p>
    <w:p>
      <w:r>
        <w:t>Das Freizügigkeitsabkommen vermittelt Vertragsausländern eine Reihe von Freizügigkeitsrechten, unter anderem das Recht auf Einreise (Art. 3 FZA i.V.m. Art. 1 Abs. 1 Anhang I FZA). Die Zulässigkeit nationaler Massnahmen, die - wie die Einreisesperre gemäss Art. 13 Abs. 1 ANAG - die Ausübung eines Freizügigkeitsrechts behindern, knüpft das Freizügigkeitsabkommen an die Voraussetzung, dass sie durch Gründe der öffentlichen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(Art. 5 Abs. 2 Anhang I FZA) und auf die einschlägige Rechtsprechung des Gerichtshofs der Europäischen Gemeinschaften (EuGH) vor dem Zeitpunkt der Unterzeichnung (Art. 16 Abs. 2 FZA). In diesem Sinne schränkt das Freizügigkeitsabkommen die ausländerrechtlichen Befugnisse nationaler Behörden bei der Handhabung landesrechtlicher Massnahmen wie der Einreisesperre ein.</w:t>
      </w:r>
    </w:p>
    <w:p>
      <w:r>
        <w:rPr>
          <w:b/>
        </w:rPr>
        <w:t>E. 5.1</w:t>
      </w:r>
    </w:p>
    <w:p>
      <w:r>
        <w:t>In einem ersten Schritt ist zu prüfen, ob das Landesrecht ein Einreiseverbot gegen einen Ausländer zulässt, der sich in gleicher Weise wie der Beschwerdeführer verhalten hat.</w:t>
      </w:r>
    </w:p>
    <w:p>
      <w:r>
        <w:rPr>
          <w:b/>
        </w:rPr>
        <w:t>E. 5.2</w:t>
      </w:r>
    </w:p>
    <w:p>
      <w:r>
        <w:t>Das Verhalten des Beschwerdeführers, das zuletzt am 2. Oktober 2008 zur Verurteilung wegen qualifizierter Zuwiderhandlung gegen das Betäubungsmittelgesetz und anderen Delikten zu einer Freiheitsstrafe von 18 Monaten führte, lässt ihn ohne weiteres als unerwünscht im Sinne des Gesetzes erscheinen. Diese Feststellung gilt zum massgebenden heutigen Zeitpunkt (vgl. oben Ziff. 2.1), galt aber auch schon zum Zeitpunkt der angefochtenen Verfügung. Zwar war das Strafverfahren betr. Zuwiderhandlung gegen das Betäubungsmittelgesetz damals noch hängig. Des strafbare Verhalten war indessen im Wesentlichen eingestanden, sodass für die Vorinstanz kein Anlass bestand, das Strafurteil abzuwarten (vgl. Urteil des Bundesverwaltungsgerichts C-1684/2008 vom 28. Oktober 2008 E. 5.1 mit Hinweisen). Da die Einreisesperre keinen Strafcharakter aufweist, kann der Vorinstanz entgegen der Auffassung des Beschwerdeführers auch keine Verletzung der in Art. 32 Abs. 1 BV und Art. 6 Ziff. 2 der Konvention vom 4. November 1950 zum Schutze der Menschenrechte und Grundfreiheiten (EMRK, SR 0.101) verankerten Unschuldsvermutung vorgeworfen werden (vgl. Urteil des Bundesverwaltungsgerichts C-1003/2006 vom 8. August 2007 E. 5.1 mit Hinweisen).</w:t>
      </w:r>
    </w:p>
    <w:p>
      <w:r>
        <w:rPr>
          <w:b/>
        </w:rPr>
        <w:t>E. 5.3</w:t>
      </w:r>
    </w:p>
    <w:p>
      <w:r>
        <w:t>Die tatbeständlichen Voraussetzungen für die Verhängung einer Einreisesperre nach Art. 13 Abs. 1 ANAG wegen Unerwünschtheit sind somit gegeben.</w:t>
      </w:r>
    </w:p>
    <w:p>
      <w:r>
        <w:rPr>
          <w:b/>
        </w:rPr>
        <w:t>E. 6.1</w:t>
      </w:r>
    </w:p>
    <w:p>
      <w:r>
        <w:t>In einem nächsten Schritt ist zu prüfen, ob die Einreisesperre vor dem Freizügigkeitsabkommen standhält resp. ob die Tatbestandsvoraussetzungen einer Einreisesperre auch nach Massgabe des Freizügigkeitsabkommens erfüllt sind.</w:t>
      </w:r>
    </w:p>
    <w:p>
      <w:r>
        <w:rPr>
          <w:b/>
        </w:rPr>
        <w:t>E. 6.3</w:t>
      </w:r>
    </w:p>
    <w:p>
      <w:r>
        <w:t>Der EuGH hat in seiner Rechtsprechung regelmässig betont,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(zur Publikation bestimmtes Urteil 2C_196/2009 vom 29. September 2009 E. 4.2, BGE 131 II 352 E. 3.2 S. 357 f., 130 II 493 E. 3.2 S. 498 f., 130 II 176 E. 3.4.1 S. 182 ff., 129 II 215 E. 7.3 S. 222; Urteile des EuGH vom 19. Januar 1999 in der Rechtssache C-348/96,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(BGE 131 II 352 E. 3.2 S. 357 f., 130 II 493 E. 3.2 S. 498 f., 130 II 176 E. 3.4.1 S. 182 ff., 129 II 215 E. 7.1 S. 221 f.; Urteil des EuGH vom 26. Februar 1975 in der Rechtssache 67-74, Bonsignore, Slg. 1975, 297, Randnrn. 6-7).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130 II 493 E. 3.2 S. 498 f., 130 II 176 E. 3.4.1 S. 182 ff.; erwähnte Urteile des EuGH in Sachen Bouchereau, Randnr. 27-29, und Calfa, Randnr. 24).</w:t>
      </w:r>
    </w:p>
    <w:p>
      <w:r>
        <w:rPr>
          <w:b/>
        </w:rPr>
        <w:t>E. 6.3.1</w:t>
      </w:r>
    </w:p>
    <w:p>
      <w:r>
        <w:t>Der EuGH hat sich bisher nicht näher zu den Kriterien geäussert, welche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131 II 352 E. 3.3 S. 358, 130 II 493 E. 3.3 S. 499 f., 130 II 176 E. 4.3.1 S. 185 f.; Urteil des Bundesverwaltungsgerichts C-2662/2007 vom 14. März 2008 E. 7.2).</w:t>
      </w:r>
    </w:p>
    <w:p>
      <w:r>
        <w:rPr>
          <w:b/>
        </w:rPr>
        <w:t>E. 6.3.2</w:t>
      </w:r>
    </w:p>
    <w:p>
      <w:r>
        <w:t>Da ein gemeinschaftsrechtlicher Begriff der öffentlichen Ordnung nicht besteht, hat sich der EuGH auch nicht zur Frage geäussert, ob und welche Verhaltensweisen im Lichte des Gemeinschaftsrechts als Störung der Grundinteressen der Gesellschaft gelten können. Er verweist in diesem Zusammenhang regelmässig auf das innerstaatliche Recht und billigt den Mitgliedstaaten einen Beurteilungsspielraum zu, dem er unter hilfsweisem Rückgriff auf das gemeinschaftsrechtliche Diskriminierungsverbot gemäss Art. 6 des Vertrags zur Gründung der Europäischen Gemeinschaft Grenzen setzt (vgl. die analoge Bestimmung des Art. 2 FZA). Nach Rechtsprechung des EuGH kann ein Verhalten dann nicht als hinreichend schwerwiegend betrachtet werden, wenn gegenüber dem gleichen Verhalten eigener Staatsangehöriger keine Zwangsmassnahmen oder andere tatsächliche und effektive Massnahmen zur Bekämpfung dieses Verhaltens ergriffen werden (Urteile des EuGH vom 18. Mai 1989 in der Rechtssache 249/86, Kommission der Europäischen Gemeinschaften gegen Bundesrepublik Deutschland, Slg. 1989 1263, Rz. 19, und vom 18. Mai 1982 in den Rechtssachen 115 und 116/81, Adoui und Cornuaille, Slg. 1982 1665, Rz. 8). Ist diese Voraussetzung erfüllt, liegt die Grenze recht tief. So hat der EuGH in einem neueren Urteil entschieden, dass Mitgliedstaaten den blossen Konsum von Betäubungsmitteln als eine Gefährdung der Gesellschaft ansehen können, die besondere Massnahmen zum Schutz der öffentlichen Ordnung gegen Angehörige anderer Mitgliedstaaten rechtfertigen kann (erwähntes Urteil des EuGH i.S. Calfa, Rz. 22).</w:t>
      </w:r>
    </w:p>
    <w:p>
      <w:r>
        <w:rPr>
          <w:b/>
        </w:rPr>
        <w:t>E. 6.4.1</w:t>
      </w:r>
    </w:p>
    <w:p>
      <w:r>
        <w:t>Mit Urteil des Bezirksgerichts Prättigau/Davos vom 2. Oktober 2008 wurde der Beschwerdeführer der Zuwiderhandlung gegen Art. 19 Ziff 2. Bst. a des Betäubungsmittelgesetzes vom 3. Oktober 1951 (BetmG, SR 812.121), der mehrfachen Widerhandlung gegen Art. 19a Ziff. 1 BetmG und anderer, nicht ins Gewicht fallender Delikte schuldig gesprochen und zu einer teilbedingten Freiheitsstrafe von 18 Monaten verurteilt. Das Gericht sah es als erstellt an, dass der Beschwerdeführer im Zeitraum von Dezember 2003 bis März 2007 129 Gramm Kokain mit einem Anteil reinen Wirkstoffs von 53 Gramm kaufte und an andere Personen weitergab, womit er die Grenze zu einem schweren Fall - nach der bundesgerichtlichen Rechtsprechung liegt diese im Fall von Kokain bei 18 Gramm reinen Wirkstoffs - um das dreifache überschritt. Hinzu kommt, dass der Beschwerdeführer zwischen Ende 2003 und Frühjahr 2007 ungefähr 75 Gramm Kokain konsumierte. Dass die Schweiz befugt ist, solche nicht nur von ihr, sondern international mit allen erdenklichen Mitteln bekämpften Verhaltensweisen als Störungen der öffentlichen Ordnung und Sicherheit zu betrachten, die ein Grundinteresse der Gesellschaft berühren, und die daher geeignet sind, die Beschränkung von Freizügigkeitsrechten zu rechtfertigen, bedarf nach dem bereits Gesagten keiner weiterer Erläuterung.</w:t>
      </w:r>
    </w:p>
    <w:p>
      <w:r>
        <w:rPr>
          <w:b/>
        </w:rPr>
        <w:t>E. 6.4.2</w:t>
      </w:r>
    </w:p>
    <w:p>
      <w:r>
        <w:t>Der Beschwerdeführer hat mit dem abgeurteilten Verhalten ein beträchtliches Mass an krimineller Energie unter Beweis gestellt. Nebst der Tatsache, dass er während eines längeren Zeitraums bedeutende Mengen harter Drogen umsetzte, fällt ins Gewicht, dass seinem Tun erst mit der zweiter Festnahme vom 21. März 2007 ein Riegel geschoben werden konnte. Eine erste Polizeihaft in derselben Strafsache, die der Beschwerdeführer vom 15. bis 18. Mai 2006 auf sich nehmen musste, konnte ihn nicht beeindrucken. Er bestritt alle gegen ihn erhobenen Vorwürfe und fuhr, nachdem er mangels hinreichendem Tatverdacht auf freien Fuss gesetzt worden war, mit seinem deliktischen Verhalten fort. Dasselbe Verhaltensmuster legte der Beschwerdeführer schon früher an den Tag, denn seit dem Jahr 1995 sind weitere sechs Verurteilungen vornehmlich wegen Vermögens- und Stras-senverkehrs-Delikten aktenkundig, ferner drei förmliche Verwarnungen durch die zuständige Migrationsbehörde. Der Beschwerdeführer liess sich weder durch die dabei erwirkten Freiheitsstrafen von insgesamt 18 ½ Monaten Gefängnis noch durch die Androhung fremdenpolizeilicher Massahmen noch die Verantwortung für seine Familie von weiteren Straftaten abhalten. Dass der Beschwerdeführer nach Erkenntnis des Bezirksgerichts nicht zum Zwecke der Verbesserung seines Lebensunterhaltes mit Betäubungsmitteln handelte, sondern um den eigenen Drogenkonsum zu finanzieren, und dass er schliesslich mit den Ermittlungsbehörden kooperierte, vermag die von ihm ausgehende Gefahr für die öffentliche Ordnung und Sicherheit nicht zu relativieren. Das Bundesverwaltungsgericht hegt keinen Zweifel daran, dass der rechtskundig vertretene Beschwerdeführer es nicht versäumt hätte, über nachträgliche für ihn günstige Entwicklungen des Sachverhalts zu informieren. Das hat er jedoch nicht getan. Obwohl er sich schwergewichtig auf die Unschuldsvermutung berief, hielt er es auch nicht für notwendig, das Bundesverwaltungsgericht vom Abschluss des Strafverfahrens in Kenntnis zu setzen. Das Wenige, was über seine persönlichen Verhältnisse nach der Entlassung aus der Untersuchungshaft und der nachfolgenden Ausreise aus der Schweiz Ende April 2007 bekannt ist, stammt aus den beigezogenen Strafakten. So hält das Bezirksgericht in seinem Urteil dem Beschwerdeführer zu Gute, dass er in seiner Heimat einen beruflichen Neuanfang gewagt habe und seit seiner Entlassung aus der Untersuchungshaft drogenfrei lebe. Damit jedoch nimmt es nur Bezug auf die Ausführungen des amtlichen Verteidigers vor den Schranken. Weder wurden diese Aussagen überprüft noch konnte sich das Bezirksgericht einen persönlichen Eindruck vom Beschwerdeführer verschaffen, denn dieser nahm an der Gerichtsverhandlung vom 2. Oktober 2008 nicht teil. Den Ausführungen des amtlichen Verteidigers kann somit kein besonderes Gewicht beigemessen werden. Anhaltpunkte dafür, dass der Beschwerdeführer einen grundlegenden und nachhaltigen Wandel zu einer verantwortlich handelnden Person erfahren hätte, sind mithin nicht erkennbar. An einer positiven Entwicklung des Beschwerdeführers sind ganz im Gegenteil Zweifel angebracht, denn am 11. März 2008 wurde von der Staatsanwaltschaft Graubünden gegen ihn erneut ein Strafverfahren eingeleitet, diesmal wegen Vernachlässigung der Unterhaltspflichten. Dem Strafverfahren zu Grunde lag ein Strafantrag des Jugendsekretariats Dielsdorf ZH, aus dem hervorgeht, dass der Beschwerdeführer im Zeitraum von 1. Juni 2003 bis 1. Januar 2008 Unterhaltsbeiträge an seinen Sohn in der Höhe von Fr. 29'590.35 hätte leisten müssen. Tatsächlich bezahlt habe er nur Fr. 4'411.40, sodass Fr. 25'178.95 offen seien. Der Beschwerdeführer wurde in der Folge zu einer Einvernahme vorgeladen, der er allerdings nicht nachkam. Am 5. Januar 2009 musste deshalb das Strafverfahren vorerst eingestellt werden. Dass sich der Beschwerdeführer dennoch auf eine besonders enge Beziehung zum Sohn beruft und dabei seine monatlichen Unterhaltszahlungen hervorhebt, wirft zusätzlich ein ausgesprochen ungünstiges Licht auf seine Person.</w:t>
      </w:r>
    </w:p>
    <w:p>
      <w:r>
        <w:rPr>
          <w:b/>
        </w:rPr>
        <w:t>E. 6.4.3</w:t>
      </w:r>
    </w:p>
    <w:p>
      <w:r>
        <w:t>Drogenhandel gehört nebst Gewalt- und Sexualdelikten zu den Verhaltensweisen, die besonders hochrangige Rechtsgüter betreffen und die daher aus präventivpolizeilicher Sicht einen strengen Beurteilungsmassstab rechtfertigen (BGE 125 II 521 E. 4a/aa S. 526 f.; Urteil des Bundesgerichts 2A.308/2004 vom 4. Oktober 2004 E. 3.3; ALAIN WURZBURGER, La jurisprudence récente du Tribunal fédéral en matière de police des étrangers, in: RDAF 53/1997 I, S. 42). Das bedeutet unter anderem, dass zum Schutz der Rechtsgenossen nur ein geringes Risiko des Rückfalls einer einschlägig vorbestraften Person in Kauf genommen werden darf (Urteil des Bundesverwaltungsgerichts C-73/2006 vom 27. März 2007 E. 7.1.1). In casu kann aufgrund der gesamten Umstände kein Zweifel daran bestehen, dass vom Beschwerdeführer eine aktuelle, tatsächliche und hinreichend schwere Gefahr für die öffentliche Ordnung und Sicherheit im Sinne des Gemeinschaftsrechts in seiner Auslegung durch den EuGH ausgeht. Die Eingriffsvoraussetzungen sind mithin auch im Lichte des Freizügigkeitsabkommens erfüllt.</w:t>
      </w:r>
    </w:p>
    <w:p>
      <w:r>
        <w:rPr>
          <w:b/>
        </w:rPr>
        <w:t>E. 7.1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7.2</w:t>
      </w:r>
    </w:p>
    <w:p>
      <w:r>
        <w:t>Dass vom Beschwerdeführer eine aktuelle, tatsächliche und erhebliche Gefahr in einem präventivpolizeilich besonders sensiblen Bereich der öffentlichen Ordnung und Sicherheit ausgeht, wurde unter dem Gesichtspunkt der Eingriffsvoraussetzung ausführlich begründet. Auf Wiederholungen kann an dieser Stelle verzichtet werden. Es bedarf keiner weiteren Erläuterung, dass die Einreisesperre eine geeignete und erforderliche Massnahme darstellt, um diese Gefahr abzuwehren. Unter dem Gesichtspunkt der Verhältnismässigkeit im engen Sinn, d.h. der Ausgewogenheit von Eingriffszweck und Eingriffswirkung, lässt sich zu Gunsten des Beschwerdeführers anführen, dass die Schwere seiner Straftaten im unteren Bereich einer Skala möglicher, im qualifizierten Widerspruch zum Betäubungsmittelgesetz stehender Verhaltensweisen anzusiedeln ist. Keinesfalls entspricht er dem Bild eines gewissenlosen Rechtsbrechers, der innerhalb einer kriminellen Organisation aus Gewinnsucht grosse Mengen Drogen umsetzt. Tatsache ist, dass der Beschwerdeführer nach Erkenntnis des Strafrichters nicht in Bereicherungsabsicht handelte, sondern um seine eigene Sucht zu finanzieren, und dass sich die Menge reinen Wirkstoffs, die er während ganzer vier Jahre in Umlauf brachte, mit 53 Gramm eher bescheiden ausnimmt. Diese Einschätzung findet ihre Entsprechung im Strafmass von 18 Monaten Freiheitsstrafe, das sich - bezogen auf den gesetzlichen Strafrahmen von mindestens 1 Jahr und maximal 20 Jahren - am untersten Ende knapp über dem gesetzlichen Minimum befindet. Zwar steht daher ausser Frage, dass ein erhebliches öffentliches Interesse an der Fernhaltung des Beschwerdeführers besteht. Dieses Interesse ist jedoch nicht derart beherrschend, dass sich ihm jedes entgegenstehende Interesse unterordnen müsste.</w:t>
      </w:r>
    </w:p>
    <w:p>
      <w:r>
        <w:rPr>
          <w:b/>
        </w:rPr>
        <w:t>E. 7.3</w:t>
      </w:r>
    </w:p>
    <w:p>
      <w:r>
        <w:t>Der Beschwerdeführer macht geltend, dass er seit 1987 in der Schweiz lebe und sich hier mittlerweile ein soziales Netz aufgebaut habe. Zu seinem 1993 geborenen Sohn aus seiner geschiedenen Ehe pflege er ein sehr gutes Verhältnis. Dieser sei durch die Scheidung der Eltern belastet und auf einen regelmässigen Kontakt zu ihm, dem Vater, angewiesen. Es könne ihm nicht zugemutet werden, seinen Vater nur noch im Ausland besuchen zu können. Schliesslich weist der Beschwerdeführer darauf hin, dass er hier seit dem Jahr 2004 eine Lebenspartnerin habe. Dem Beschwerdeführer kann insofern gefolgt werden, als von einem engen, während langen Jahren aufgebauten sozialen und familiären Beziehungsgeflecht in der Schweiz ausgegangen werden muss, das grundsätzlich geeignet ist, ein beträchtliches privates Interesse an Einreisen in die Schweiz zu begründen, und das zudem unter den Schutz des Anspruchs auf Achtung des Privat- und Familienlebens nach Art. 8 EMRK und Art. 13 Abs. 1 BV fällt. Unter dem Gesichtspunkt der Einreisesperre ist namentlich das Verhältnis des Beschwerdeführers zu seinem Sohn von Bedeutung, der zwischenzeitlich das schweizerische Bürgerrecht besitzt. Auf der anderen Seite ist darauf hinzuweisen, dass der Beschwerdeführer wiederholt ausländerrechtlich verwarnt wurde. Bereits von daher war ihm bekannt, dass er seinen Aufenthalt in der Schweiz gefährdet und nachteilige Folgen auf sein Familien- und Privatleben zu gewärtigen hat, wenn er weiter Straftaten verübt. Dennoch fuhr er mit seiner Delinquenz fort. Offensichtlich nahmen die Vorteile, die er sich daraus erhoffte, einen höheren Stellenwert in seinem persönlichen Wertesystem ein, als ein ungestörtes Familien- und Privatleben, auf das er sich nun besinnt. Hinzu tritt, dass das Bild, das der Beschwerdeführer von sich als Vater zu zeichnen versucht, irreführend ist. Es ist namentlich unzutreffend, dass er seinem Sohn monatlich Unterhaltszahlungen leisten würde, wie er in seiner Beschwerdeschrift ausführt. Tatsächlich kam der Beschwerdeführer seinen finanziellen Verpflichtungen gegenüber dem Sohn von Anfang an nicht nach, obwohl er grösstenteils einer Erwerbstätigkeit nachging. Stattdessen gab er sein Geld für einen Hauskauf in Slowenien aus und leistete sich trotz beträchtlicher Schulden kostspielige Anschaffungen, wie seine Lebenspartnerin in ihrer Einvernahme vom 16. Mai 2006 gegenüber den Ermittlungsbehörden beanstandete. Während derselben Einvernahme gab die Lebenspartnerin im Übrigen zu Protokoll, dass sie und der Beschwerdeführer ihre Beziehung beendet hätten. Schliesslich und endlich scheint sich die Notwendigkeit von Besuchen seines Sohnes in der Schweiz bis heute nicht aktualisiert zu haben. Jedenfalls ist kein Gesuch des Beschwerdeführers um Suspension der Einreisesperre aktenkundig. Es kann angenommen werden, dass sich sein Interesse an Einreisen in die Schweiz wegen des ihn hier erwartenden Strafvollzugs in Grenzen hält.</w:t>
      </w:r>
    </w:p>
    <w:p>
      <w:r>
        <w:rPr>
          <w:b/>
        </w:rPr>
        <w:t>E. 7.4</w:t>
      </w:r>
    </w:p>
    <w:p>
      <w:r>
        <w:t>Zusammenfassend ist festzustellen, dass auf der einen Seite ein erhebliches, jedoch nicht alles beherrschendes öffentliches Interesse an der Fernhaltung des Beschwerdeführers besteht. Auf der anderen Seite sind beachtliche private Interessen vorhanden, die indessen für sich allein nicht geeignet sind, gegen das öffentliche Interesse gänzlich durchzudringen und die Massnahme als solche in Frage zu stellen. Zusammen mit dem öffentlichen Interesse an der möglichst uneingeschränkten Verwirklichung der Freizügigkeitsrechte führen sie aber dazu, dass mit Bezug auf die fünfjährige Dauer der Massnahme der Eingriffszweck und die Eingriffswirkung nicht mehr in einem annehmbaren Verhältnis stehen, die Massnahme mit anderen Worten nicht als verhältnismässig im engeren Sinn erscheint. Unter Berücksichtigung sämtlicher Umstände und mit Blick auf ähnliche Fälle erscheint es als angemessen, deren Dauer auf drei Jahre zu begrenzen.</w:t>
      </w:r>
    </w:p>
    <w:p>
      <w:r>
        <w:rPr>
          <w:b/>
        </w:rPr>
        <w:t>E. 8</w:t>
      </w:r>
    </w:p>
    <w:p>
      <w:r>
        <w:t>Nach dem Gesagten erweist sich, dass die auf fünf Jahre bemessene Einreisesperre Bundesrecht verletzt (vgl. Art. 49 VwVG). Die Beschwerde ist daher teilweise gutzuheissen und die gegen den Beschwerdeführer verhängte Einreisesperre ist auf auf den 25. Juni 2010 zu befristen.</w:t>
      </w:r>
    </w:p>
    <w:p>
      <w:r>
        <w:rPr>
          <w:b/>
        </w:rPr>
        <w:t>E. 9</w:t>
      </w:r>
    </w:p>
    <w:p>
      <w:r>
        <w:t>Bei diesem Ausgang des Verfahrens sind dem Beschwerdeführer reduzierte Verfahrenskosten im Betrag von Fr. 300.- aufzuerlegen (Art. 63 Abs. 1 VwVG i.V.m. Art. 1, Art. 2 und Art. 3 Bst. b des Reglements vom 21. Februar 2008 über die Kosten und Entschädigungen vor dem Bundesverwaltungsgericht [VGKE, SR 173.320.2]). Sie werden mit dem geleisteten Kostenvorschuss verrechnet. Im Umfang seines Obsiegens ist dem Beschwerdeführer zu Lasten der Vorinstanz eine gekürzte Parteientschädigung zuzusprechen, wobei das Bundesverwaltungsgericht einen Betrag von Fr. 800.- (inkl. MWSt.) als angemessen erachtet (Art. 64 Abs. 1 VwVG i.V.m. Art. 7 ff. VGKE). Dispositiv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