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C-5294/2008 vom 12. Mai 2010</w:t>
      </w:r>
    </w:p>
    <w:p>
      <w:r>
        <w:t>Bundesverwaltungsgericht, 2010-05-12, FR</w:t>
      </w:r>
    </w:p>
    <w:p>
      <w:r>
        <w:rPr>
          <w:b/>
        </w:rPr>
        <w:t xml:space="preserve">Quelle: </w:t>
      </w:r>
      <w:r>
        <w:t>https://mcp.opencaselaw.ch/entscheid/bvger_C-5294_2008</w:t>
      </w:r>
    </w:p>
    <w:p>
      <w:r>
        <w:t>FR: TAF C-5294/2008 du 12 mai 2010</w:t>
      </w:r>
    </w:p>
    <w:p>
      <w:r>
        <w:t>IT: TAF C-5294/2008 del 12 maggio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C-6622/2009 du 10 février 2010 consid. 4.1, C-2676/2009 du 14 décembre 2009 consid. 4.2).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C-6622/2009 du 10 février 2010 consid. 4.2).</w:t>
      </w:r>
    </w:p>
    <w:p>
      <w:r>
        <w:rPr>
          <w:b/>
        </w:rPr>
        <w:t>E. 4.3</w:t>
      </w:r>
    </w:p>
    <w:p>
      <w:r>
        <w:t>En application de l'art. 81 OASA, les autorités cantonales peuvent déposer une demande auprès de l'ODM afin qu'il ordonne une interdiction d'entrée.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2ème éd., Peter Uebersax/Beat Rudin/Thomas Hugi Yar/Thomas Geiser [éd.], Bâle 2009, ch. 8.80 p. 356).</w:t>
      </w:r>
    </w:p>
    <w:p>
      <w:r>
        <w:rPr>
          <w:b/>
        </w:rPr>
        <w:t>E. 5</w:t>
      </w:r>
    </w:p>
    <w:p>
      <w:r>
        <w:t>En l'espèce, l'ODM a prononcé à l'encontre de A._______ une décision d'interdiction d'entrée fondée sur l'art. 67 al. 1 let. a LEtr, estimant que la recourante avait attenté, par son séjour et son activité professionnelle en Suisse sans autorisation, à la sécurité et à l'ordre publics.</w:t>
      </w:r>
    </w:p>
    <w:p>
      <w:r>
        <w:rPr>
          <w:b/>
        </w:rPr>
        <w:t>E. 5.1</w:t>
      </w:r>
    </w:p>
    <w:p>
      <w:r>
        <w:t>Force est de constater que la recourante a volontairement violé les prescriptions légales en entrant en Suisse vers le 4 juin 2008 et en se rendant à Saint-Maurice deux à trois jours plus tard, en y ayant séjourné et travaillé sans déclarer son arrivée aux autorités compétentes de son lieu de résidence ou de travail et sans être en possession d'une autorisation idoine. Elle a ainsi commis des infractions - qui au demeurant ont été reconnues (cf. P.-V. d'audition du 17 juillet 2008) - et pour lesquelles son employeur a par ailleurs été sanctionné pénalement par l'autorité judiciaire compétente. C'est le lieu de rappeler que tout étranger est censé s'occuper personnellement du règlement de sa situation et qu'il ne saurait prendre un emploi sans avoir obtenu préalablement l'autorisation qui lui en confère le droit (art. 11 al. 1 LEtr). Par décision du 17 juillet 2008, A._______ s'est en outre vue notifier un ordre de refoulement immédiat à la frontière, aux motifs qu'elle avait séjourné et travaillé illégalement en Suisse, élément qui, au regard de l'art. 67 al. 1 let. c LEtr, aurait également autorisé l'ODM à prendre une décision d'interdiction d'entrée. Quant aux autres arguments invoqués par la recourante, à savoir le fait que l'exploitante de l'établissement public de Saint-Maurice dans lequel elle a travaillé est une amie de son oncle et qu'elle séjournait chez elle pour parfaire ses connaissances de français, ils ne sont pas de nature à effacer le caractère illicite de son comportement, sous peine de vider en grande partie de leur sens les prescriptions relatives au séjour et à la prise d'emploi en Suisse. En effet, conformément à l'art. 11 al. 2 LEtr, est considérée comme une activité lucrative toute activité salariée ou indépendante qui procure normalement un gain, même si elle est exercée gratuitement. En l'espèce, entendue le 17 juillet 2008, A._______ a expressément reconnu avoir travaillé dans un établissement public dès son arrivée à Saint-Maurice, durant environ quinze jours durant quatre à cinq heures par jour, aux heures des repas, et avoir reçu de la propriétaire du restaurant un montant de 430.- francs pour son travail. Ces éléments de fait permettent sans autre au Tribunal de qualifier d'activité lucrative l'occupation exercée par l'intéressée.</w:t>
      </w:r>
    </w:p>
    <w:p>
      <w:r>
        <w:rPr>
          <w:b/>
        </w:rPr>
        <w:t>E. 5.2</w:t>
      </w:r>
    </w:p>
    <w:p>
      <w:r>
        <w:t>Par conséquent, l'autorité de céans estime que la recourante, par la commission des infractions précitées, a attenté à la sécurité et à l'ordre publics, de sorte qu'il se justifie de prononcer une interdiction d'entrée à son encontre.</w:t>
      </w:r>
    </w:p>
    <w:p>
      <w:r>
        <w:rPr>
          <w:b/>
        </w:rPr>
        <w:t>E. 6.1</w:t>
      </w:r>
    </w:p>
    <w:p>
      <w:r>
        <w:t>Il convient encore d'examiner si la mesure d'éloignement prise par l'ODM satisfait aux principes de la proportionnalité et de l'égalité de traitement.</w:t>
      </w:r>
    </w:p>
    <w:p>
      <w:r>
        <w:rPr>
          <w:b/>
        </w:rPr>
        <w:t>E. 6.2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parmi d'autres l'arrêt du Tribunal administratif fédéral C-2306/2008 du 13 octobre 2009 consid. 9 et références citées).</w:t>
      </w:r>
    </w:p>
    <w:p>
      <w:r>
        <w:rPr>
          <w:b/>
        </w:rPr>
        <w:t>E. 6.3</w:t>
      </w:r>
    </w:p>
    <w:p>
      <w:r>
        <w:t>L'interdiction d'entrée prononcée à l'endroit de A._______ est une mesure administrative de contrôle qui tend à la tenir éloignée de Suisse où elle a commis des infractions aux prescriptions de police des étrangers. Il en va de l'intérêt de l'Etat à voir respectés l'ordre établi et la législation en vigueur (cf. arrêt du Tribunal administratif fédéral C-5479/2008 du 24 juillet 2009 consid. 6.2.2). Les infractions reprochées à l'intéressée revêtent une certaine gravité. Il convient en particulier de souligner que sans l'interpellation du 17 juillet 2008, l'intéressée aurait vraisemblablement poursuivi son séjour et son activité lucrative sans autorisation en Suisse. L'intérêt privé de la recourante à rendre visite à sa famille et à pouvoir se déplacer librement en Suisse ne saurait, dans ces conditions, être considéré comme prépondérant par rapport à l'intérêt public à son éloignement. Au vu de l'ensemble des éléments objectifs et subjectifs de la cause, le Tribunal estime que l'interdiction d'entrée en Suisse prononcée par l'autorité intimée, limitée dans le temps au 16 juillet 2011, est adéquate et que sa durée, fixée à trois ans, respecte le principe de proportionnalité. Par ailleurs, cette mesure n'est pas contraire au principe d'égalité de traitement, au regard des décisions prises par les autorités dans des cas analogues.</w:t>
      </w:r>
    </w:p>
    <w:p>
      <w:r>
        <w:rPr>
          <w:b/>
        </w:rPr>
        <w:t>E. 7</w:t>
      </w:r>
    </w:p>
    <w:p>
      <w:r>
        <w:t>Il ressort de ce qui précède que, par sa décision du 17 juillet 2008, l'ODM n'a ni violé le droit fédéral, ni constaté des faits pertinents de manière inexacte ou incomplète; en outre, cette décision n'est pas inopportune (art. 49 PA). Le recours est en conséquence rejeté.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