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C-5294/2007 vom 7. August 2008</w:t>
      </w:r>
    </w:p>
    <w:p>
      <w:r>
        <w:t>Bundesverwaltungsgericht, 2008-08-07, DE</w:t>
      </w:r>
    </w:p>
    <w:p>
      <w:r>
        <w:rPr>
          <w:b/>
        </w:rPr>
        <w:t xml:space="preserve">Quelle: </w:t>
      </w:r>
      <w:r>
        <w:t>https://mcp.opencaselaw.ch/entscheid/bvger_C-5294_2007</w:t>
      </w:r>
    </w:p>
    <w:p>
      <w:r>
        <w:t>FR: TAF C-5294/2007 du 7 août 2008</w:t>
      </w:r>
    </w:p>
    <w:p>
      <w:r>
        <w:t>IT: TAF C-5294/2007 del 7 agosto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Der Beschwerdeführer ist gemäss Art. 48 VwVG zur Beschwerde legitimiert; auf die frist- und formgerecht eingereichte Beschwerde ist einzutreten (Art. 50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Inkrafttreten des AuG eingereicht worden sind, das bisherige Recht anwendbar. Die (materielle) Beurteilung erfolgt somit noch nach dem alten Recht. Einschlägig sind das Bundesgesetz vom 26. März 1931 über Aufenthalt und Niederlassung der Ausländer (aANAG, BS 1 121, zum vollständigen Quellennachweis vgl. Ziff. I des Anhangs zum AuG) und die Verordnung vom 14. Januar 1998 über die Einreise und Anmeldung von Ausländerinnen und Ausländern (aVEA, AS 1998 194, zum vollständigen Quellennachweis vgl. Art. 39 VEV). Das Verfahren hingegen richtet sich nach dem neuen Recht (vgl. Art. 126 Abs. 2 AuG).</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aANAG, Art. 9 Abs. 1 aVEA,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aVEA). Um ein Visum zu erhalten, müssen Ausländerinnen und Ausländer die in Artikel 1 Absatz 2 aVEA aufgeführten Voraussetzungen erfüllen. Sie haben unter anderem Gewähr für eine fristgerechte Wiederausreise zu bieten (Art. 1 Abs. 2 Bst. c aVEA).</w:t>
      </w:r>
    </w:p>
    <w:p>
      <w:r>
        <w:rPr>
          <w:b/>
        </w:rPr>
        <w:t>E. 4.1</w:t>
      </w:r>
    </w:p>
    <w:p>
      <w:r>
        <w:t>Der Gesuchsteller bedarf aufgrund seiner Nationalität zur Einreise in die Schweiz nebst dem Pass eines Visums. Die Vorinstanz verweigerte die Erteilung eines solchen Visums mit der Begründung, die anstandslose und fristgerechte Wiederausreise erscheine nicht als hinreichend gesichert.</w:t>
      </w:r>
    </w:p>
    <w:p>
      <w:r>
        <w:rPr>
          <w:b/>
        </w:rPr>
        <w:t>E. 4.2</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4.3</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4.4</w:t>
      </w:r>
    </w:p>
    <w:p>
      <w:r>
        <w:t>Die Wirtschaft Sri Lankas ist 2007 real um 7,4 % gewachsen. Das Pro-Kopf-Einkommen betrug 1350 USD, das Bruttoinlandprodukt (BIP) 27 Mrd. USD. Für 2008 wird erneut ein hohes Wirtschaftswachstum von über 6 % erwartet. Ein Problem für die weitere wirtschaftliche Entwicklung ist zunehmend die Inflation, die 2007 mit einer Jahresrate von deutlich über 15 % nicht unter Kontrolle gebracht werden konnte. Die Arbeitslosigkeit beträgt seit längerer Zeit ungefähr 7 %. Die wirtschaftliche Entwicklung Sri Lankas weist allerdings grosse regionale Unterschiede auf. Wirtschaftliches Zentrum ist die Region rund um Colombo, die fast die Hälfte der gesamten Wirtschaftsleistung erbringt. Die grundsätzlich ermutigenden wirtschaftlichen Entwicklungen können solchermassen nicht über die Tatsache hinwegtäuschen, dass nach wie vor breite Bevölkerungsschichten von vergleichsweise schwierigen ökonomischen und sozialen Lebensbedingungen betroffen sind. Darüber hinaus hat sich die Sicherheitslage im ganzen Land seit Anfang 2006 wieder verschlechtert, nachdem erneut Kämpfe zwischen dem Militär und der Liberation Tigers of Tamil Eelam (LTTE) ausgebrochen sind. Davon besonders betroffen sind der Osten und Norden Sri Lankas; Anschläge kommen jedoch auch in der Hauptstadt Colombo vor. Zudem hat die Regierung am 3. Januar 2008 das Waffenstillstandsabkommen mit der LTTE offiziell per 16. Januar 2008 gekündigt; seither haben die Gefechte im Norden des Landes zugenommen und das politische Klima ist sehr gespannt (Quellen: Länder- und Reiseinformationen auf der Webseite des Auswärtigen Amtes, www.auswaertiges-amt.de, Stand: Juni 2008, besucht am 14. Juli 2008; Reisehinweise auf der Webseite des Eidgenössischen Departements für Auswärtige Angelegenheiten [EDA], www.eda.admin.ch, Stand: 7. Februar 2008, besucht am 14. Juli 2008). Von der allgemeinen Gewalt und dem bewaffneten Konflikt sind denn auch alle drei ethnischen Gruppen - Singhalesen, Muslime und Tamilen - betroffen (vgl. BVGE E-2775/2007 vom 14. Februar 2008 E. 7.2.3).</w:t>
      </w:r>
    </w:p>
    <w:p>
      <w:r>
        <w:rPr>
          <w:b/>
        </w:rPr>
        <w:t>E. 4.5</w:t>
      </w:r>
    </w:p>
    <w:p>
      <w:r>
        <w:t>Vor diesem Hintergrund ist ungeachtet des Umstandes, dass der Gesuchsteller Singhalese ist, die Beurteilung der Vorinstanz, die das Risiko einer nicht fristgerechten Wiederausreise als relativ hoch einschätzte, nicht zu beanstanden. Wie unter Erwägung 4.1 ausgeführt, entbindet dies jedoch die Vorinstanz nicht von einer einzelfallbezogenen Beurteilung. Namentlich können berufliche, gesellschaftliche oder familiäre Verpflichtungen die Prognose einer anstandslosen Wiederausreise begünstigen.</w:t>
      </w:r>
    </w:p>
    <w:p>
      <w:r>
        <w:rPr>
          <w:b/>
        </w:rPr>
        <w:t>E. 5</w:t>
      </w:r>
    </w:p>
    <w:p>
      <w:r>
        <w:t>Beim in M._______ (ca. 40 km nördlich von Colombo) wohnhaften Gesuchsteller handelt es sich um einen 24-jährigen Mann, der gemäss seinen eigenen Angaben Student ist (vgl. Ziffer 9 des Visumantrags vom 4. Mai 2007) und somit keiner geregelten Erwerbstätigkeit nachgeht. Ganz offensichtlich hat er auch keine familiären Verpflichtungen, zumal er sich als ledig bezeichnet (vgl. Ziffer 4 des Visumantrags vom 4. Mai 2007). Die auf Beschwerdeebene eingereichten Unterlagen über eine Karateschule betreffen denn auch eine Person, deren Gesuch durch Rückzug der Beschwerde inzwischen hinfällig geworden ist (vgl. Abschreibungsentscheid des Bundesverwaltungsgerichts C-5292/2007 vom 6. September 2007). Die persönlichen Verhältnisse des Gesuchstellers vermögen demnach das aufgrund der wirtschaftlichen und politischen Lage in Sri Lanka bestehende Risiko einer nicht fristgerechten Ausreise nicht zu vermindern. Diese Einschätzung wird im Übrigen auch von der Schweizerischen Vertretung in Colombo geteilt, welche mit den Verhältnissen vor Ort gut vertraut ist.</w:t>
      </w:r>
    </w:p>
    <w:p>
      <w:r>
        <w:rPr>
          <w:b/>
        </w:rPr>
        <w:t>E. 5.1</w:t>
      </w:r>
    </w:p>
    <w:p>
      <w:r>
        <w:t>Der Beschwerdeführer macht hingegen geltend, er habe schon oft visapflichtige Personen eingeladen, ohne dass es (in Bezug auf die Wiederausreise) zu Problemen gekommen sei. Einerseits lässt sich mangels näherer Angaben nicht eruieren, unter welchen Umständen diesen Personen in der Vergangenheit ein Einreisevisum erteilt wurde. Andererseits weist jeder Einzelfall - wie vorliegend belegt - eine ihm eigene und spezifische Konstellation auf, so dass er nicht ohne weiteres mit anderen, angeblich geleichgelagerten Fällen verglichen werden kann. In den vorinstanzlichen Akten ist lediglich ein Fall einer 65-jährigen srilankischen Staatsangehörigen von 2005/2006 dokumentiert, der offensichtlich nicht mit dem vorliegenden Fall vergleichbar ist.</w:t>
      </w:r>
    </w:p>
    <w:p>
      <w:r>
        <w:rPr>
          <w:b/>
        </w:rPr>
        <w:t>E. 5.2</w:t>
      </w:r>
    </w:p>
    <w:p>
      <w:r>
        <w:t>Schliesslich verweist der Beschwerdeführer auf seine Garantieleistungen. Seine Integrität in der Eigenschaft als Gastgeber wird jedoch in keiner Art und Weise in Zweifel gezogen. Indessen sind bei der Abwägung des Risikos einer nicht fristgerechten Wiederausreise nicht so sehr die Einstellung des Gastgebers, sondern in erster Linie das mögliche Verhalten des Gastes selbst von Bedeutung. Nur Letzterer ist in der Lage, hinreichend Gewähr für eine fristgerechte Wiederausreise zu bieten. Der Gastgeber kann zwar für gewisse finanzielle Risiken Garantie leisten, nicht aber - mangels rechtlicher und faktischer Durchsetzbarkeit - für ein bestimmtes Verhalten des Gastes (vgl. anstelle vieler Urteile des Bundesverwaltungsgerichts C-6493/2007 vom 9. Juni 2008 E. 5.3 und C-2101/2006 vom 24. April 2008 E. 5.3).</w:t>
      </w:r>
    </w:p>
    <w:p>
      <w:r>
        <w:rPr>
          <w:b/>
        </w:rPr>
        <w:t>E. 6</w:t>
      </w:r>
    </w:p>
    <w:p>
      <w:r>
        <w:t>Aus den dargelegten Gründen ist somit nicht zu beanstanden, dass die Vorinstanz das öffentliche Interesse sowie die Beachtung der geltenden Bestimmungen höher gewichtete als allfällige wirtschaftliche Interessen des Beschwerdeführers und dem Gesuchsteller die Einreise verweigerte. Die angefochtene Verfügung verletzt kein Bundesrecht. Der rechtserhebliche Sachverhalt wurde richtig und vollständig festgestellt, und die Vorinstanz hat das ihr zustehende Ermessen pflichtgemäss und zutreffend gehandhabt (Art. 49 VwVG). Die Beschwerde ist demzufolge abzuweisen.</w:t>
      </w:r>
    </w:p>
    <w:p>
      <w:r>
        <w:rPr>
          <w:b/>
        </w:rPr>
        <w:t>E. 7</w:t>
      </w:r>
    </w:p>
    <w:p>
      <w:r>
        <w:t>Bei diesem Ausgang des Verfahrens wird der unterliegende Beschwerdeführer kostenpflichtig (Art. 63 Abs. 1 VwVG). Die Verfahrenskosten sind auf Fr. 400.- festzusetzen (Art. 1, Art. 2 und Art. 3 Bst. b des Reglements über die Kosten und Entschädigungen vor dem Bundesverwaltungsgericht vom 21. Februar 2008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