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C-5286/2011 vom 22. Juni 2012</w:t>
      </w:r>
    </w:p>
    <w:p>
      <w:r>
        <w:t>Bundesverwaltungsgericht, 2012-06-22, DE</w:t>
      </w:r>
    </w:p>
    <w:p>
      <w:r>
        <w:rPr>
          <w:b/>
        </w:rPr>
        <w:t xml:space="preserve">Quelle: </w:t>
      </w:r>
      <w:r>
        <w:t>https://mcp.opencaselaw.ch/entscheid/bvger_C-5286_2011</w:t>
      </w:r>
    </w:p>
    <w:p>
      <w:r>
        <w:t>FR: TAF C-5286/2011 du 22 juin 2012</w:t>
      </w:r>
    </w:p>
    <w:p>
      <w:r>
        <w:t>IT: TAF C-5286/2011 del 22 giugno 2012</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BJ betreffend Sozialhilfeleistungen an Schweizer Staatsangehörige im Ausland nach Art. 14 Abs. 1 des Bundesgesetztes vom 21. März 1973 über Sozialhilfe und Darlehen an Schweizer Staatsangehörige im Ausland (BSDA, SR 852.1).</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 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C-5363/2009 vom 2. März 2010 E. 5.3). Wird ein Gesuch um wiederkehrende Sozialhilfeleistungen auf dieser Grundlage gutgeheissen, entspricht die Höhe der auszurichtenden Leistungen dem festgestellten Fehlbetrag (vgl. Art. 9 Abs. 1 VSDA). Somit ist hinsichtlich der Frage des Anspruchs des Beschwerdeführers auf Sozialhilfeunterstützung bzw. seiner Bedürftigkeit nach Art. 5 BSDA vorab zu prüfen, ob das der angefochtenen Verfügung zugrundeliegende Haushaltsbudget korrekt erstellt wurde.</w:t>
      </w:r>
    </w:p>
    <w:p>
      <w:r>
        <w:rPr>
          <w:b/>
        </w:rPr>
        <w:t>E. 4</w:t>
      </w:r>
    </w:p>
    <w:p>
      <w:r>
        <w:t>Das der Verfügung zugrunde liegende Budget wurde aufgrund der geltenden Richtlinien von der Schweizerischen Vertretung erstellt und von der Vorinstanz ergänzt. Hierzu kann festgestellt werden, dass sich im Dossier der Vorinstanz mehrere Kopien - hingegen kein einziges Original - von Budgetformularen befinden (vgl. Act. 11, 21 und Budget für pauschale Berechnung mit Kopfquote vom 10. August 2011). Es ist jedoch nur schwer nachvollziehbar, welche vom Beschwerdeführer aufgeführten Budgetposten von der schweizerischen Vertretung und der Vorinstanz korrigiert bzw. ergänzt wurden (zum Sollzustand vgl. E. 3). Ebenso wurde bei der Anzahl unterstützungspflichtiger Personen fälschlicherweise die Zahl vier eingesetzt (vgl. Budgetposten 2.2.1 f.), obwohl lediglich der Beschwerdeführer und seine zwei Kinder unterstützt werden. Überdies enthält die Kopie vom 10. August 2011, nota bene im Aktenverzeichnis nicht erfasst, "Liquid Paper-Überschreibungen", welche von der Vorinstanz stammen dürften. Eine eigene Zusammenstellung oder Rubrik des BJ fehlt hingegen. Die Vorinstanz wäre gut beraten, wenn sie künftig die Angaben des Gesuchstellers und die Korrekturen bzw. Ergänzungen der schweizerischen Vertretung sowie ihre eigenen Berichtigungen klar auseinanderhalten würde.</w:t>
      </w:r>
    </w:p>
    <w:p>
      <w:r>
        <w:rPr>
          <w:b/>
        </w:rPr>
        <w:t>E. 4.1</w:t>
      </w:r>
    </w:p>
    <w:p>
      <w:r>
        <w:t>Der Beschwerdeführer rügt zunächst, gemäss Art. 20 und 25 ZUG hätten Ausländer in der Schweiz Anspruch auf Unterstützungsbeiträge. Wenn nun eine Ausländerin, die mit einem Schweizer und den gemeinsamen Kindern im Ausland wohne, nicht unterstützt werde, stelle dies eine Rechtsungleichheit dar. Zudem sei laut Bundesgericht bei der Berechnung von Sozialhilfeleistungen davon auszugehen, dass sich die Partner eines stabilen Konkubinats gegenseitig materiell unterstützen würden. Wie die Vorinstanz in ihrer Vernehmlassung richtig ausführt, werden gemäss Art. 1 und 2 BSDA i.V.m. Art. 1 VSDA Schweizer Bürgerinnen und Bürger, die sich in einer Notlage befinden, Sozialhilfeleistungen gewährt. Die Konkubinatspartnerin des Beschwerdeführers ist brasilianische Staatsangehörige und besitzt kein Schweizer Bürgerrecht. Demzufolge hat sie keinen Anspruch auf Sozialhilfeleistungen aus der Schweiz. Das ZUG seinerseits ist auf Auslandschweizer nicht anwendbar und verweist in Art. 1 Abs. 3 auf das BSDA (vgl. Urteil des Bundesgerichts 8C_115/2007 vom 23. Januar 2008 E. 3.2.1). Ein Konkubinat führt sozialhilferechtlich entgegen der Auffassung des Beschwerdeführers zu keinen rechtlichen Unterhalts- und Beistandsansprüchen zwischen den Partnern. Die zivilrechtliche Praxis im Bereich des alten Scheidungsrechts gewährte dem Unterhaltsschuldner einen Anspruch auf Aufhebung der Scheidungsrente, wenn dessen Exgatte in einem gefestigten Konkubinat lebte (vgl. Urteil des Bundesgerichts vom 12. Januar 2004 2P.242/2003 E. 2.3 mit Hinweisen). Diese Konstellation ist in casu nicht gegeben.</w:t>
      </w:r>
    </w:p>
    <w:p>
      <w:r>
        <w:rPr>
          <w:b/>
        </w:rPr>
        <w:t>E. 4.2</w:t>
      </w:r>
    </w:p>
    <w:p>
      <w:r>
        <w:t>Mit dem Haushaltsgeld sollen die alltäglichen Lebenshaltungskosten bestritten werden (Kosten für Nahrungsmittel, Getränke, Körperpflege, Coiffeur, Reinigung und Unterhalt von Kleidern und Wohnung, kleinere alltägliche Bedarfsartikel sowie Abfallgebühren). Dessen Höhe wird auf Vorschlag der Schweizer Vertretung von der Vorinstanz periodisch länder- oder regionenweise festgelegt (vgl. Ziff. 2.2.1 der Richtlinien). Für Brasilien beträgt das monatliche Haushaltsgeld im Jahr 2011 BRL 523.--. Dieser Betrag ist denn auch den wirtschaftlichen Verhältnissen in Brasilien angemessen und seine Budgetierung damit gerechtfertigt (vgl. Ausführungen der Vorinstanz in der Vernehmlassung vom 27. Januar 2012).</w:t>
      </w:r>
    </w:p>
    <w:p>
      <w:r>
        <w:rPr>
          <w:b/>
        </w:rPr>
        <w:t>E. 4.2.1</w:t>
      </w:r>
    </w:p>
    <w:p>
      <w:r>
        <w:t>Der Beschwerdeführer bringt vor, sein Sohn benötige täglich drei Windeln, welche verhältnismässig teuer seien. Hierzu kann festgehalten werden, dass die Kosten für Windeln mit dem Haushaltsgeld (siehe oben) sowie der Pauschale für Kleider, Wäsche und Schuhe abgedeckt sind und nicht zusätzlich vergütet werden. Gemäss Ziff. 2.2.3 der Richtlinien wird zusätzlich zum Haushaltsgeld pro Person für Kleider, Wäsche und Schuhe eine Pauschale von 5-15% des vollen Haushaltsgeldes gewährt. Vorliegend wurde ein Prozentsatz von 30% festgelegt, was der vorgetragenen Sachlage genügend Rechnung trägt.</w:t>
      </w:r>
    </w:p>
    <w:p>
      <w:r>
        <w:rPr>
          <w:b/>
        </w:rPr>
        <w:t>E. 4.2.2</w:t>
      </w:r>
    </w:p>
    <w:p>
      <w:r>
        <w:t>Weiter macht der Beschwerdeführer geltend, im Budget seien lediglich Kosten von nicht trinkbarem Wasser berücksichtigt worden. Seine Familie benötige jedoch 120 Liter Trinkwasser monatlich. Dabei übersieht der Beschwerdeführer, dass die Kosten für Trinkwasser im Haushaltsgeld enthalten sind (vgl. Ziff. 2.2.1. Richtlinien "Getränke").</w:t>
      </w:r>
    </w:p>
    <w:p>
      <w:r>
        <w:rPr>
          <w:b/>
        </w:rPr>
        <w:t>E. 4.3</w:t>
      </w:r>
    </w:p>
    <w:p>
      <w:r>
        <w:t>Zu Recht nicht berücksichtigt wurden zudem die vom Beschwerdeführer in seinem Budget vom 22. Oktober 2008 ebenfalls geltend gemachten Schul- und Transportkosten. Gemäss Ziff. 2.3.7 der Richtlinien werden die Kosten einer Privatschule ausnahmsweise anerkannt, wenn nur auf diese Weise eine minimale Grundbildung (Grundkenntnisse in Lesen, Schreiben und Rechnen) gewährleistet werden kann. Auch wenn die öffentlichen Schulen in Brasilien jährlich von einem Lehrerstreik betroffen sein sollten, ist dadurch eine minimale Grundbildung dennoch nicht gefährdet. Dem Beschwerdeführer steht es frei, mit seiner Familie in die Schweiz zurückzukehren, wo seine Kinder eine gute Schulbildung geniessen würden. Gemäss Ziff. 2.3.6 werden in der Regel nur die Kosten für den Transport in öffentlichen Verkehrsmitteln anerkannt. Der Beschwerdeführer bringt keine besonderen Gründe vor, welche die Anrechnung der Kosten für die Benützung eines privaten Motorfahrzeuges rechtfertigen.</w:t>
      </w:r>
    </w:p>
    <w:p>
      <w:r>
        <w:rPr>
          <w:b/>
        </w:rPr>
        <w:t>E. 4.4</w:t>
      </w:r>
    </w:p>
    <w:p>
      <w:r>
        <w:t>Die vom Beschwerdeführer geltend gemachten Hauswartkosten sind nicht belegt und finden demzufolge im Budget zu Recht keine Berücksichtigung (vgl. Art. 6 Ziff. 1 Bst. b VSDA).</w:t>
      </w:r>
    </w:p>
    <w:p>
      <w:r>
        <w:rPr>
          <w:b/>
        </w:rPr>
        <w:t>E. 4.5</w:t>
      </w:r>
    </w:p>
    <w:p>
      <w:r>
        <w:t>Für Gebühren für Radio, TV, Telefon und Internet hat die Vorinstanz BRL 100.-- veranschlagt; dieser Wert entspricht den Vorgaben in Punkt 2.2.4 der Richtlinien.</w:t>
      </w:r>
    </w:p>
    <w:p>
      <w:r>
        <w:rPr>
          <w:b/>
        </w:rPr>
        <w:t>E. 4.6</w:t>
      </w:r>
    </w:p>
    <w:p>
      <w:r>
        <w:t>Aufgrund dieser Ausführungen ist nicht davon auszugehen, die Vorinstanz habe das Budget nicht in rechtskonformer Weise erstellt oder sei von falschen Annahmen ausgegangen. 5.Demnach gelangt das Bundesverwaltungsgericht zum Schluss, dass die angefochtene Verfügung Bundesrecht nicht verletzt (vgl. Art. 49 VwVG). Die Beschwerde ist daher abzuweisen. 6.Bei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womit dem diesbezüglichen Gesuch des Beschwerdeführers stattgegeben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