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C-5282/2009 vom 16. September 2011</w:t>
      </w:r>
    </w:p>
    <w:p>
      <w:r>
        <w:t>Bundesverwaltungsgericht, 2011-09-16, DE</w:t>
      </w:r>
    </w:p>
    <w:p>
      <w:r>
        <w:rPr>
          <w:b/>
        </w:rPr>
        <w:t xml:space="preserve">Quelle: </w:t>
      </w:r>
      <w:r>
        <w:t>https://mcp.opencaselaw.ch/entscheid/bvger_C-5282_2009</w:t>
      </w:r>
    </w:p>
    <w:p>
      <w:r>
        <w:t>FR: TAF C-5282/2009 du 16 septembre 2011</w:t>
      </w:r>
    </w:p>
    <w:p>
      <w:r>
        <w:t>IT: TAF C-5282/2009 del 16 settembre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unter Berücksichtigung des Fristen­stillstandes während der Gerichtsferien frist- (Art. 38 Abs. 4 und Art. 60 ATSG sowie Art. 22a Abs. 1 VwVG) und formgerecht (Art. 52 VwVG) eingereicht und der Kostenvorschuss innert Frist geleistet wurde, ist darauf einzutreten.</w:t>
      </w:r>
    </w:p>
    <w:p>
      <w:r>
        <w:rPr>
          <w:b/>
        </w:rPr>
        <w:t>E. 2.1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25. Juni 2009)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 Anspruch auf eine ordentliche Rente haben gemäss Art. 36 Abs. 1 IVG in den bis 31. Dezember 2007 gültig gewesenen Fassungen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den bis 31. Dezember 2007 gültig gewesenen Fassungen). Der Beschwerdeführer hat unbestrittenermassen während mehr als drei Jahren Beiträge an die schweizerische Alters-, Hinterlassenen- und Invalidenversicherung geleistet, sodass die Voraussetzung der Mindestbeitragsdauer für den Anspruch auf eine ordentliche Invalidenrente sowohl nach altem als auch nach neuem Recht erfüllt ist.</w:t>
      </w:r>
    </w:p>
    <w:p>
      <w:r>
        <w:rPr>
          <w:b/>
        </w:rPr>
        <w:t>E. 3</w:t>
      </w:r>
    </w:p>
    <w:p>
      <w:r>
        <w:t>Vorab ist zu prüfen, ob die IVSTA angesichts des im August 2008 erfolgten Wohnsitzwechsels des Beschwerdeführers (vgl. act. 32 und 36) überhaupt die zuständige Verfügungsbehörde war.</w:t>
      </w:r>
    </w:p>
    <w:p>
      <w:r>
        <w:rPr>
          <w:b/>
        </w:rPr>
        <w:t>E. 3.1</w:t>
      </w:r>
    </w:p>
    <w:p>
      <w:r>
        <w:t>Die örtliche Zuständigkeit der IV-Stelle richtet sich in der Regel nach dem Wohnsitz des Versicherten im Zeitpunkt der Anmeldung (Art. 55 IVG). Im Zeitpunkt der Anmeldung zum Bezug von IV-Leistungen vom November 2007 hatte der Beschwerdeführer seinen Wohnsitz im Kanton Basel-Landschaft (act. 1), weshalb das Verwaltungsverfahren betreffend das Rentengesuch des Beschwerdeführers zu Recht bei der IV-Stelle Basel-Landschaft anhängig gemacht wurde (Art. 40 Abs. 1 lit. a IVV).</w:t>
      </w:r>
    </w:p>
    <w:p>
      <w:r>
        <w:rPr>
          <w:b/>
        </w:rPr>
        <w:t>E. 3.2</w:t>
      </w:r>
    </w:p>
    <w:p>
      <w:r>
        <w:t>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EVG I 232/03 vom 22. Januar 2004, publiziert in SVR 2005 IV Nr. 39, E. 3.3.1 f.; vgl. auch Urteil BGer I 190/06 vom 16. Mai 2007 E. 3.2). Die IV-Stelle Basel-Landschaft hatte somit gar keinen Grund, die Sache an die IVSTA zu übermitteln, sondern wäre für den Erlass der Verfügung zuständig gewesen.</w:t>
      </w:r>
    </w:p>
    <w:p>
      <w:r>
        <w:rPr>
          <w:b/>
        </w:rPr>
        <w:t>E. 3.3</w:t>
      </w:r>
    </w:p>
    <w:p>
      <w:r>
        <w:t>Verfügungen von örtlich unzuständigen IV-Stellen - vorliegend der IVSTA - sind in der Regel nicht nichtig, sondern lediglich anfechtbar (soeben angeführtes Urteil I 232/03 E. 4.1; Urteil BVGer C-2687/2006 vom 27. August 2008 E. 3.2 mit Hinweisen). Nach der Rechtsprechung kann im Beschwerdeverfahren aus prozessökonomischen Gründen von der Aufhebung der Verfügung einer unzuständigen IV-Stelle und Überweisung der Sache an die zuständige IV-Stelle abgesehen werden, wenn die fehlende Zuständigkeit nicht gerügt wird und aufgrund der gegebenen Aktenlage in der Sache entschieden werden kann (Urteil EVG I 8/02 vom 16. Juli 2002 E. 2.4 in Verbindung mit E. 1.1, Urteil EVG I 232/03 vom 22. Januar 2004, publiziert in SVR 2005 IV Nr. 39, E. 4.2.1).</w:t>
      </w:r>
    </w:p>
    <w:p>
      <w:r>
        <w:rPr>
          <w:b/>
        </w:rPr>
        <w:t>E. 3.4</w:t>
      </w:r>
    </w:p>
    <w:p>
      <w:r>
        <w:t>Da vorliegend die fehlende Zuständigkeit nicht gerügt wurde und aufgrund der gegebenen Aktenlage in der Sache entschieden werden kann, ist aus prozessökonomischen Gründen von der Aufhebung der Verfügung der Vorinstanz aus formellen Gründen und von der Überweisung der Sache an die zuständige IV-Stelle Basel-Landschaft abzusehen.</w:t>
      </w:r>
    </w:p>
    <w:p>
      <w:r>
        <w:rPr>
          <w:b/>
        </w:rPr>
        <w:t>E. 4.1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vom 1. Januar 2003 bis zum 31. Dezember 2007 gültig gewesenen Fassungen) bzw.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5</w:t>
      </w:r>
    </w:p>
    <w:p>
      <w:r>
        <w:t>Vorliegend ist zu prüfen, ob und gegebenenfalls seit wann (je nach Eintritt des Versicherungsfalls frühestens ab November 2006 [12 Monate vor Eingang des Leistungsbegehrens] bzw. ab Mai 2008 [6 Monate nach Eingang des Leistungsbegehrens]; vgl. E. 2.4 hiervor) und in welchem Umfang der Beschwerdeführer Anspruch auf eine Invalidenrente hat.</w:t>
      </w:r>
    </w:p>
    <w:p>
      <w:r>
        <w:rPr>
          <w:b/>
        </w:rPr>
        <w:t>E. 5.1</w:t>
      </w:r>
    </w:p>
    <w:p>
      <w:r>
        <w:t>Die angefochtene Verfügung der IVSTA vom 25. Juni 2009 stützt sich im Wesentlichen auf das interdisziplinäre Gutachten der MUP vom 5. November 2008 mit pneumologischem und psychiatrischem Untergutachten vom 29. August 2008 und 23. Oktober 2008. Gemäss pneumologischem Untergutachten von Dres. med. G._______ und H._______ vom 29. August 2008 bestehe bezüglich der Langerhanszell-Granulomatose klinisch ein stabiler Verlauf. Lungenfunktionell bestehe "aktuell" keine Restriktion mehr bei deutlicher Besserung der Totalkapazität um 1300 ml seit November 2007. Spiroergonomisch zeige sich eine normale Reaktion der Blutgase bei leicht eingeschränkter Leistungsfähigkeit im Rahmen einer gewissen Dekonditionierung, während sich unter Belastung keine Diffusionsstörung zeige und somit keine Hinweise für eine Limitierung durch die Langerhanszell-Granulomatose bestünden. Bezüglich des Schlafapnoesyndroms habe der Patient seit dem Frühjahr wieder einige Kilogramm Gewicht zugenommen und es zeigten sich klinisch und pulsoximetrisch Hinweise für eine progrediente Klinik. Diesbezüglich werde der Wiederbeginn einer CPAP-Therapie empfohlen. Insgesamt spreche aus pneumologischer Sicht nichts gegen eine sitzende berufliche Tätigkeit (act. 17; vgl. dazu auch act. 26). Dr. med. D._______, Facharzt für Psychiatrie und Psychotherapie, attestierte A._______ in seinem psychiatrischen Untergutachten vom 23. Oktober 2008 eine Anpassungsstörung (ICD 10 F43.2) und eine Tendenz zu übermässigem Alkoholkonsum (ICD 10 F10.1). Es habe allenfalls eine hintergründige subdepressive Stimmungslage vorgefunden werden können, doch habe vor allem eine starke Motivationslosigkeit "imponiert". Der Explorand weise auch eine fatalistische Einstellung auf. Es müsse angenommen werden, dass er im Rahmen von verschiedenen Umständen unter Anpassungsstörungen zu leiden begann (Schwierigkeiten in der Beziehung, berufliche Überlastung, Tendenz zu Alkoholkonsum, Führerausweisentzug und hintergründige Ängste bezüglich der somatischen Erkrankung). Ferner sei davon auszugehen, dass zusätzlich noch eine hintergründige mögliche neurotische Problematik vorliege, die vor allem im narzisstischen Bereich liegen dürfte. Die Anpassungsstörung äussere sich insofern, als er eher resigniert und unmotiviert sei, unter einer erhöhten Nervosität und nächtlicher Unruhe leide, wobei auch davon auszugehen sei, dass er hintergründige Ängste verdränge. Daher benötige er dringend eine psychotherapeutische Behandlung. Er scheine in seiner bisherigen Tätigkeit als Leiter im Finanzwesen und Personalverantwortlicher überfordert zu sein. Diesbezüglich weise er auch schlechte Bewältigungsstrategien auf, indem er alles auf die Seite schiebe oder Aufgaben gar nicht erledige. Aufgrund seines Verhaltens seien Tätigkeiten mit Übernahme von Verantwortung zurzeit eher ungeeignet. Er sei zurzeit als Leiter einer Abteilung nicht in der Lage, eine genügende Verantwortung zu tragen. Es sollten daher Umstellungen am Arbeitsplatz erfolgen. Es sei anzunehmen, dass er in der bisherigen Tätigkeit eine verminderte Leistungsfähigkeit von "etwa" 20% aufweise. Grundsätzlich sollte es ihm aber möglich sein, ganztags die bisherige Arbeit mit der beschriebenen Einschränkung weiterzuführen (act. 16 und 17). Gestützt darauf kamen Dres. med. I._______, J._______, K._______ und L._______ mit interdisziplinärem Gutachten vom 5. November 2008 zum Schluss, dass die Langerhanszell-Granulomatose sowie das obstruktive Schlaf­apnoe-Syndrom keine Einschränkung der Arbeitsunfähigkeit des Beschwerdeführers in der angestammten Tätigkeit zu begründen vermöchten. Aus psychiatrischer Sicht bestehe jedoch eine Leistungsunfähigkeit von 20% in der bisherigen Tätigkeit. Der Explorand sei jedoch in der Lage, diese Tätigkeit mit der beschriebenen Einschränkung ganztags auszuüben. Der Beginn der Arbeitsunfähigkeit sei der Zeitpunkt der Begutachtung vom 16. Juni 2007 (recte: 10. Juli 2008; vgl. act. 20 und 21). In einer Verweisungstätigkeit mit ähnlichem Anforderungsprofil, jedoch weniger Verantwortung, sei der Explorand voll arbeitsfähig (act. 17).</w:t>
      </w:r>
    </w:p>
    <w:p>
      <w:r>
        <w:rPr>
          <w:b/>
        </w:rPr>
        <w:t>E. 5.2</w:t>
      </w:r>
    </w:p>
    <w:p>
      <w:r>
        <w:t>Dr. med. D._______ gab in seinem Gutachten an, der Beschwerdeführer scheine in seiner bisherigen Tätigkeit als Leiter im Finanzwesen und Personalverantwortlicher überfordert zu sein; aufgrund seines Verhaltens seien Tätigkeiten mit Übernahme von Verantwortung zurzeit eher ungeeignet; er sei zurzeit als Leiter einer Abteilung nicht in der Lage, eine genügende Verantwortung zu tragen, weshalb Umstellungen am Arbeitsplatz notwendig seien. Die Einschätzung von Dr. med. D._______, wonach der Beschwerdeführer in seiner bisherigen Tätigkeit - mit verminderter Leistungsfähigkeit - zu 100% arbeitsfähig sei, erweist sich demnach als nicht nachvollziehbar bzw. widersprüchlich, ist es doch undenkbar, die bisherige Tätigkeit als Leiter im Finanzwesen und Personalverantwortlicher mit weniger Verantwortung auszuüben. Vielmehr bildet eine Tätigkeit im Finanzwesen mit weniger Verantwortung eine Verweisungstätigkeit, die nicht mit der angestammten Tätigkeit des Beschwerdeführers gleichgesetzt werden kann. Hinzu kommt, dass Dr. med. D._______ zwar den Umfang der verminderten Leistungsfähigkeit des Beschwerdeführers in der bisherigen Tätigkeit bezifferte, jedoch nicht näher ausführte, inwiefern dieser in seinem Arbeitsalltag eingeschränkt ist bzw. welche Tätigkeiten er nicht mehr resp. nur noch eingeschränkt ausüben kann und welche Umstellungen am Arbeitsplatz zu erfolgen haben. Die Beurteilung der attestierten Restarbeitsfähigkeit des Beschwerdeführers ist somit nicht nachvollziehbar begründet. Im Übrigen ist anzumerken, dass Dr. med. D._______ die verminderte Leistungsfähigkeit auf "etwa" 20% beziffert, was auch eine gewisse Ungenauigkeit seiner Einschätzung impliziert. Ferner wurde im interdisziplinären Gutachten vom 5. November 2008 das Formular E213 vom 14. November 2011 nicht in der "detaillierten Auflistung der vorhandenen Akten" aufgeführt (act. 17). Es ist demnach davon auszugehen, dass dieser medizinische Bericht Dr. med. D._______ bei seiner Begutachtung nicht vorlag. Weiter äussert sich das psychiatrische Untergutachten nicht zum tatsächlichen Beginn der attestierten Arbeitsunfähigkeit. Im interdisziplinären Gutachten wird diesbezüglich auf das Datum der Begutachtung vom 10. Juli 2008 abgestellt. Auch Dres. med. G._______ und H._______ machen keine Angaben zum Beginn der attestierten Arbeitsfähigkeit. Sie verweisen einzig auf eine deutliche gesundheitliche Verbesserung seit November 2007. Auch die (Rest-) Arbeitsfähigkeit des Beschwerdeführers vor dem 10. Juli 2008 bleibt somit unklar. Die Beurteilung von Dr. med. D._______ bzw. von Dres. med. G._______ und H._______ sowie das gestützt darauf erfolgte interdisziplinäre Gutachten vom 5. November 2008 erweisen sich demnach als nicht schlüssig bzw. als unvollständig.</w:t>
      </w:r>
    </w:p>
    <w:p>
      <w:r>
        <w:rPr>
          <w:b/>
        </w:rPr>
        <w:t>E. 5.3</w:t>
      </w:r>
    </w:p>
    <w:p>
      <w:r>
        <w:t>Gemäss Formular E213 vom 14. November 2007 ist der Beschwerdeführer in seiner bisherigen Tätigkeit als Finanzleiter seit zwei bis drei Jahren zu 50% arbeitsunfähig. Gleichzeitig kommt der beurteilende Arzt zum Schluss, dass der Beschwerdeführer keine angepassten Arbeiten mehr verrichten könne (act. 6). Diese Beurteilung erweist sich mit Blick auf die attestierte Arbeitsfähigkeit in der bisherigen Tätigkeit von 50% als nicht schlüssig, zumal eine leidensangepasste Verweisungstätigkeit mindestens im Umfang der attestierten Restarbeitsfähigkeit in der bisherigen Tätigkeit ausgeübt werden kann.</w:t>
      </w:r>
    </w:p>
    <w:p>
      <w:r>
        <w:rPr>
          <w:b/>
        </w:rPr>
        <w:t>E. 5.4</w:t>
      </w:r>
    </w:p>
    <w:p>
      <w:r>
        <w:t>Hinsichtlich der vom Beschwerdeführer im vorinstanzlichen Verfahren eingereichten medizinischen Unterlagen ist festzustellen, dass auch diese die von der Rechtsprechung gestellten Anforderungen an medizinische Unterlagen nicht erfüllen, zumal es sich dabei um Kurzatteste bzw. um eher kurz gehaltene Einschätzungen von Ärzten handelt, welche bei ihrer Beurteilung der Restarbeitsfähigkeit keinen Unterschied zwischen der Arbeitsunfähigkeit in der angestammten und in einer leidensadaptierten Tätigkeit machten (vgl. act. 32).</w:t>
      </w:r>
    </w:p>
    <w:p>
      <w:r>
        <w:rPr>
          <w:b/>
        </w:rPr>
        <w:t>E. 5.5</w:t>
      </w:r>
    </w:p>
    <w:p>
      <w:r>
        <w:t>Im Übrigen ist davon auszugehen, dass Dr. med. B._______ des RAD beider Basel, dessen Spezialisierung nicht aktenkundig ist, nicht über alle zur Beurteilung der Arbeitsfähigkeit erforderlichen Facharzttitel verfügt. Aufgrund der beim Beschwerdeführer von verschiedenen Ärzten diagnostizierten psychischen und pneumologischen Leiden wäre das Einholen der Stellungnahme bei entsprechend ausgebildeten Fachärzten notwendig gewesen, um den allgemeinen beweisrechtlichen Anforderungen an medizinische Unterlagen zu genügen (vgl. E. 4.4 hiervor). Die Beantwortung der Frage, ob aufgrund der psychischen und pneumologischen Gesundheitsbeeinträchtigung eine länger andauernde Arbeitsunfähigkeit vorliegt, fällt vorliegend in die Kompetenz der entsprechenden Spezialärzte.</w:t>
      </w:r>
    </w:p>
    <w:p>
      <w:r>
        <w:rPr>
          <w:b/>
        </w:rPr>
        <w:t>E. 5.6</w:t>
      </w:r>
    </w:p>
    <w:p>
      <w:r>
        <w:t>Aufgrund der dem Gericht vorliegenden medizinischen Unterlagen lässt sich somit nicht beurteilen, ob, seit wann und in welchem Umfang Anspruch auf eine Invalidenrente besteht. 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BGer 9C_243/2010 vom 28. Juni 2011 E. 4.4), oder wenn die Rückweisung nach den konkreten Umständen als unverhältnismässig bezeichnet werden müsste (BGE 122 V 163 E. 1d). Vorliegend sind keine Gründe ersichtlich, die der Rückweisung der Sache zur weiteren Abklärung an die IVSTA entgegenstehen würden. Die angefochtene Verfügung ist daher aufzuheben und die Sache an die IVSTA zurückzuweisen, damit sie ergänzende medizinische Abklärungen (Durchführung einer interdisziplinären Begutachtung des Beschwerdeführers; medizinisch nachvollziehbar begründete Beurteilung betreffend [Rest-] Arbeitsfähigkeit und massgeblichen Zeitraum) vornehme und anschliessend über den Rentenanspruch neu verfüge. In diesem Sinne ist die Beschwerde teilweise gutzuheissen.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 Der Vorinstanz werden keine Verfahrenskosten auf­erlegt (Art. 63 Abs. 2 VwVG).</w:t>
      </w:r>
    </w:p>
    <w:p>
      <w:r>
        <w:rPr>
          <w:b/>
        </w:rPr>
        <w:t>E. 6.2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