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C-527/2009 vom 27. April 2010</w:t>
      </w:r>
    </w:p>
    <w:p>
      <w:r>
        <w:t>Bundesverwaltungsgericht, 2010-04-27, FR</w:t>
      </w:r>
    </w:p>
    <w:p>
      <w:r>
        <w:rPr>
          <w:b/>
        </w:rPr>
        <w:t xml:space="preserve">Quelle: </w:t>
      </w:r>
      <w:r>
        <w:t>https://mcp.opencaselaw.ch/entscheid/bvger_C-527_2009</w:t>
      </w:r>
    </w:p>
    <w:p>
      <w:r>
        <w:t>FR: TAF C-527/2009 du 27 avril 2010</w:t>
      </w:r>
    </w:p>
    <w:p>
      <w:r>
        <w:t>IT: TAF C-527/2009 del 27 aprile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L'art. 1 al. 1 LAI stipule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l'avance de frais fournie dans le délai (cf. pces 7, 8, 10, 12, 14), il est entré en matière sur le fond du recours.</w:t>
      </w:r>
    </w:p>
    <w:p>
      <w:r>
        <w:rPr>
          <w:b/>
        </w:rPr>
        <w:t>E. 2</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(ALCP, RS 0.142.112.681), entré en vigueur le 1er juin 2002, dont l'Annexe II règle la coordination des systèmes de sécurité sociale (art. 80a LAI). Conformément à l'art. 3 al. 1 du Règlement (CEE) N° 1408/71 du Conseil du 14 juin 1971,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w:t>
      </w:r>
    </w:p>
    <w:p>
      <w:r>
        <w:rPr>
          <w:b/>
        </w:rPr>
        <w:t>E. 3</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 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En l'espèce, les dispositions de la 5ème révision de la LAI entrées en vigueur le 1er janvier 2008 sont applicables et les dispositions citées ci-après sont, sauf précision contraire, celles en vigueur à compter du 1er janvier 2008.</w:t>
      </w:r>
    </w:p>
    <w:p>
      <w:r>
        <w:rPr>
          <w:b/>
        </w:rPr>
        <w:t>E. 4</w:t>
      </w:r>
    </w:p>
    <w:p>
      <w:r>
        <w:t>Le recourant a présenté sa seconde demande de rente le 4 février 2008. Selon les normes en vigueur au moment du dépôt de la demande, l'assuré a droit à une rente aux conditions suivantes: être invalide au sens de la LPGA/LAI et compter trois années au moins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pendant plus de trois années au total (cf. pce 36)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5.2</w:t>
      </w:r>
    </w:p>
    <w:p>
      <w:r>
        <w:t>L'assuré a droit à une rente si sa capacité de gain ou sa capacité d'accomplir ses travaux habituels ne peut pas être rétablie, maintenue ou améliorée par des mesures de réadaptation raisonnablement exigibles (art. 28 al. 1 let. a LAI), s'il a présenté une incapacité de travail (art. 6 LPGA) d'au moins 40% en moyenne durant une année sans interruption notable et si au terme de cette année, il est invalide (art. 8 LPGA) à 40% au moins. La rente est échelonnée selon le taux d'invalidité à un quart de rente si l'assuré est invalide à 40% au moins, à une demi-rente s'il est invalide à 50%, à trois-quarts de rente s'il est invalide à 60% et à une rente entière s'il est invalide à 70% au moins (art. 28 al. 2 LAI). Suite à l'entrée en vigueur le 1er juin 2002 de l'ALCP, la restriction prévue à l'art. 29 al. 4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5.3</w:t>
      </w:r>
    </w:p>
    <w:p>
      <w:r>
        <w:t>Conformément à l'art. 29 al. 1 LAI, le droit à la rente prend naissance au plus tôt à l'échéance d'une période de six mois à compter de la date à laquelle l'assuré a fait valoir son droit aux prestations conformément à l'art. 29 al. 1 LPGA.</w:t>
      </w:r>
    </w:p>
    <w:p>
      <w:r>
        <w:rPr>
          <w:b/>
        </w:rPr>
        <w:t>E. 5.4</w:t>
      </w:r>
    </w:p>
    <w:p>
      <w:r>
        <w:t>Par ailleurs, il est utile de rappeler que l'assuré cesse d'avoir droit à la rente d'invalidité dès qu'il peut prétendre la rente de vieillesse de l'AVS (art. 30 LAI). Conformément à l'art. 21 de la loi fédérale du 20 décembre 1946 sur l'assurance-vieillesse et survivants (LAVS, RS 831.10), dans sa teneur en vigueur à partir du 1er janvier 2008, ont droit à une rente de vieillesse les hommes qui ont atteint 65 ans révolus (al. 1 let. a). Le droit à une rente de vieillesse prend naissance le premier jour du mois suivant celui où a été atteint l'âge prescrit à l'al. 1 (al. 2). Dans le cas présent, l'assuré fera valoir un droit à la rente de vieillesse en temps opportun.</w:t>
      </w:r>
    </w:p>
    <w:p>
      <w:r>
        <w:rPr>
          <w:b/>
        </w:rPr>
        <w:t>E. 6</w:t>
      </w:r>
    </w:p>
    <w:p>
      <w:r>
        <w:t>Le recourant a travaillé en Suisse entre 1969 et 1997 en qualité de maçon. De retour en Espagne, il a enregistré des périodes d'assurance comme salarié du 7 août 2000 au 22 février 2009 (voir pce 12). En dernier lieu, il a été employé en qualité de coffreur du 6 juin 2005 au 22 février 2008 par l'entreprise de construction J._______ SA, à Santiago de Compostela. Un arrêt de travail pour maladie est documenté à partir du 2 août 2007. Depuis lors, l'assuré n'a plus repris d'activité lucrative.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8.1</w:t>
      </w:r>
    </w:p>
    <w:p>
      <w:r>
        <w:t>En l'espèce, il est établi que le recourant présente des altérations dégénératives au niveau de la colonne vertébrale, des épaules et des genoux. Selon le service médical de l'OAIE, l'atteinte dégénérative de l'appareil locomoteur, déjà présente en 1999 (première demande), ainsi que le syndrome douloureux n'entraînerait toujours pas de limitations fonctionnelles objectivables du point de vue clinique et la capacité de travail dans l'activité habituelle dans le domaine de la construction serait entièrement conservée. Il considère ainsi que l'assuré, lors d'épisodes rhumatologiques aiguës, aurait bel et bien besoin d'un traitement et d'un bref arrêt de travail. Le reste du temps, l'assuré ne présenterait toutefois pas de symptômes et serait en mesure d'exercer son activité sur les chantiers à temps complet. Le service médical se fonde en cela essentiellement sur le rapport E 213 et conclut à l'absence d'une maladie de longue durée assortie d'une incapacité de travail de 40% en moyenne durant une année au moins. L'autorité inférieure, de son côté, invoque dans sa réponse au recours le point 11.4 du rapport E 213. A à la lecture du rapport entier toutefois, il résulte à l'évidence que les croix posées aux points 11.4 et 11.5 ont été inversées. En effet, le médecin de la sécurité sociale, sous point 9, s'est prononcé dans le sens que l'assuré est en mesure d'exercer une activité moyenne de manière régulière et a clairement désigné sous les points 10 à 11.3 les restrictions et conditions à observer dans l'exercice d'une activité professionnelle. Ainsi l'assuré doit éviter les travaux impliquant le port de charges, l'usage de rampes et d'échelles (risque de chute), mais peut travailler en position assise et en position alternante. Il peut également effectuer un travail à l'écran, ainsi qu'à son domicile, sans l'aide de tiers. Par conséquent, le médecin de la sécurité sociale a confirmé sous point 11.6 que l'assuré est en mesure d'effectuer un travail adapté à temps complet, le degré d'invalidité étant à apprécier d'après les déficits fonctionnels (voir point 11.8). Ces conclusions concordent par ailleurs avec celles contenues dans le rapport du 27 septembre 2007 (Dr S._______) lequel décrit une pathologie dégénérative sévère au niveau de la colonne cervicale, dorsolombaire et des genoux (notamment une gonarthrose bilatérale marquée et une rupture du ménisque externe gauche), et souligne la chronicité et la persistance des manifestations algiques, incompatibles avec les efforts et surcharges inhérents à son métier, ces derniers étant susceptibles d'aggraver de façon manifeste la pathologie existante. Le rhumatologue recommande dès lors l'abandon de cette profession. Or le service médical de l'OAIE n'a relevé ni les contradictions contenues dans le rapport E 213 ni le fait que l'assuré, au cours du dernier contrat de travail, a été mis en arrêt pour maladie et a obtenu des prestations à ce titre dès le 23 août 2007 jusqu'au 1er février 2008 (pce 11). Il écarte aussi l'avis du Dr E._______ (18 septembre 2008) selon lequel l'assuré n'est plus en mesure d'exercer son métier d'ouvrier dans le bâtiment en raison des lésions dégénératives de l'appareil ostéomusculaire. Il convient dès lors de constater que les avis exprimés par les médecins espagnols et le service médical de l'OAIE quant à savoir dans quelle mesure l'assuré est à même de mettre en valeur sa capacité de travail ne sont pas concordants.</w:t>
      </w:r>
    </w:p>
    <w:p>
      <w:r>
        <w:rPr>
          <w:b/>
        </w:rPr>
        <w:t>E. 8.2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réf. cit.),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 Conformément à la jurisprudence, il convient en principe de se placer au moment de la naissance du droit à la rente pour juger de l'exigibilité d'un changement de profession de la part de l'assuré (cf. arrêt du Tribunal fédéral 9C_612/2007 du 14 juillet 2008 consid. 5.2; I 761/04 du 14 juin 2005 consid. 2.3 se référant à l'ATF 129 V 222). En l'occurrence, l'état de santé du recourant s'est manifestement aggravé en août 2007 (cf. pces 11, 19, 20), alors que la demande n'a été déposée que le 4 février 2008. Le droit à une rente aurait ainsi pu naître au plus tôt en août 2008 (art. 29 al. 1 LAI). Le recourant était alors âgé de plus de 62 ans, soit un seuil à partir duquel on peut parler d'âge avancé (cf. arrêts du Tribunal fédéral 9C_104/2008 du 15 octobre 2008 consid. 4; 9C_612/2007 du 14 juillet 2008 consid. 5.2; I 819/04 du 27 mai 2005 consid. 2.2).</w:t>
      </w:r>
    </w:p>
    <w:p>
      <w:r>
        <w:rPr>
          <w:b/>
        </w:rPr>
        <w:t>E. 8.3</w:t>
      </w:r>
    </w:p>
    <w:p>
      <w:r>
        <w:t>Compte tenu de ce qui précède ainsi que des contradictions relevées et des appréciations médicales divergentes quant à l'exigibilité à 100% du métier physiquement exigeant de maçon et/ou coffreur ou bien d'une activité de substitution encore à définir de la part de l'assuré, le Tribunal de céans ne peut se rallier sans autre aux conclusions de l'autorité inférieure. Le recours doit dès lors être admis dans le sens que la décision attaquée est annulée et la cause renvoyée à l'autorité inférieure afin que celle-ci prenne une nouvelle décision. L'art. 61 PA ne permet de recourir à cette solution que dans les cas exceptionnels. In casu l'application de l'exception prévue est toutefois justifiée si l'on considère les lacunes présentes dans cette cause et l'importance des informations à recueillir. Par conséquent, l'Office de l'assurance-invalidité pour les assurés résidant à l'étranger soumettra le dossier à son service médical lequel se prononcera sur les éventuelles activités de substitution compatibles avec les pathologies en présence voire l'opportunité d'un rapport médical complémentaire. Il se prononcera ensuite sur le degré d'invalidité jusqu'à la date de la décision attaquée en tenant compte de toutes les limitations relevées dans la dernière activité exercée (maçon/coffreur) et les activités de substitution exigibles qu'il conviendra de définir avec précision. Ensuite, après la procédure d'audition, l'autorité inférieure rendra une nouvelle décision.</w:t>
      </w:r>
    </w:p>
    <w:p>
      <w:r>
        <w:rPr>
          <w:b/>
        </w:rPr>
        <w:t>E. 10</w:t>
      </w:r>
    </w:p>
    <w:p>
      <w:r>
        <w:t>La décision attaquée a été rendue après le 1er juillet 2006, entrée en vigueur de l'art. 69 al. 2 LAI soumettant la procédure de recours en matière de contestations portant sur l'octroi ou le refus de prestations de l'AI devant le Tribunal administratif fédéral à des frais de procédure. Au vu de l'issue de la procédure, il n'est pas perçu de frais de procédure. L'avance de frais effectuée de Fr. 300.- est restituée au recourant. Vu que le recourant n'avait pas à supporter des frais indispensables et relativement élevés, aucune indemnité de dépens n'est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