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C-5278/2010 vom 22. Oktober 2012</w:t>
      </w:r>
    </w:p>
    <w:p>
      <w:r>
        <w:t>Bundesverwaltungsgericht, 2012-10-22, DE</w:t>
      </w:r>
    </w:p>
    <w:p>
      <w:r>
        <w:rPr>
          <w:b/>
        </w:rPr>
        <w:t xml:space="preserve">Quelle: </w:t>
      </w:r>
      <w:r>
        <w:t>https://mcp.opencaselaw.ch/entscheid/bvger_C-5278_2010</w:t>
      </w:r>
    </w:p>
    <w:p>
      <w:r>
        <w:t>FR: TAF C-5278/2010 du 22 octobre 2012</w:t>
      </w:r>
    </w:p>
    <w:p>
      <w:r>
        <w:t>IT: TAF C-5278/2010 del 22 ottobre 2012</w:t>
      </w:r>
    </w:p>
    <w:p>
      <w:pPr>
        <w:pStyle w:val="Heading2"/>
      </w:pPr>
      <w:r>
        <w:t>Regeste</w:t>
      </w:r>
    </w:p>
    <w:p>
      <w:r>
        <w:t>Unfallversicherung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Nach Art. 109 Bst. b UVG beurteilt das Bundesverwaltungsgericht Beschwerden gegen Einspracheentscheide über die Zuteilung der Betriebe und der Versicherten zu den Klassen und Stufen der Prämientarife.</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49 VwVG). Als Adressatin des Einspracheentscheides hat die Beschwerdeführerin ein schützenswertes Interesse an dessen Aufhebung oder Abänderung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der Verordnung über die Unfallversicherung vom 20. Dezember 1982 (UVV, SR 832.202) nach den Bestimmungen der VUV, wobei der betroffene Betrieb in der Regel in eine Stufe mit einem um mindestens 20% höheren Prämiensatz versetzt werden soll. Laut Art. 66 Abs. 1 der Verordnung über die Verhütung von Unfällen und Berufskrankheiten vom 19. Dezember 1983 (VUV, SR 832.30) kann ein Betrieb in eine höhere Stufe des Prämientarifs versetzt werden, sofern der Arbeitgeber einer vollstreckbaren Verfügung keine Folge leistet oder er auf andere Weise Vorschriften über Arbeitssicherheit zuwider 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4</w:t>
      </w:r>
    </w:p>
    <w:p>
      <w:r>
        <w:t>Bei der Überprüfung einer Verfügung nach Art. 92 Abs. 3 UVG ist in einem ersten Schritt zu beurteilen, ob eine Missachtung der Vorschriften über die Unfallverhütung vorliegt. Ist dies zu bejahen, muss weiter geprüfte werden, ob die verfügte Prämienerhöhung in rechtmässiger Anwendung der massgeblichen Bestimmungen ergangen ist.</w:t>
      </w:r>
    </w:p>
    <w:p>
      <w:r>
        <w:rPr>
          <w:b/>
        </w:rPr>
        <w:t>E. 4.1</w:t>
      </w:r>
    </w:p>
    <w:p>
      <w:r>
        <w:t>Gemäss Art. 82 Abs. 1 UVG ist der Arbeitgeber verpflichtet, zur Verhütung von Betriebsunfällen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 konkretisiert werden. Dazu gehört namentlich die Verordnung vom 29. Juni 2005 über die Sicherheit und den Gesundheitsschutz der Arbeitnehmerinnen und Arbeitnehmer bei Bauarbeiten (Bauarbeitenverordnung [BauAV], SR 832.311.141). Gemäss Art. 15 Abs. 1 BauAV ist bei ungeschützten Stellen mit einer Absturzhöhe von mehr als 2 m und bei solchen im Bereich von Böschungen und Gewässern ein Seitenschutz zu verwenden. Gemäss Art. 18 BauAV ist ein Fassadengerüst zu erstellen, wird bei Hochbauarbeiten die Absturzhöhe von 3 m überschritten. Der oberste Holm des Gerüsts hat während der ganzen Bauarbeiten die höchste Absturzkante um mindestens 80 cm zu überragen. Gemäss Art. 5 Abs. 1 BauAV müssen die Arbeitnehmerinnen und Arbeitnehmer bei allen Arbeiten, bei denen sie durch herunterfallende Gegenstände oder Materialien gefährdet werden können, einen Schutzhelm tragen. Abs. 2 legt zudem fest, bei welchen Tätigkeiten in jedem Fall ein Schutzhelm getragen werden muss. Dies gilt bspw. bei Hoch- und Brückenbauarbeiten bis zum Abschluss des Rohbaus (Bst. a), bei Arbeiten im Bereich von Kranen, Aushubgeräten und Spezialtiefbaumaschinen (Bst. b), beim Graben- und Schachtbau sowie beim Erstellen von Baugruben (Bst. c) oder bei Holzbau- und Metallbauarbeiten (Bst. h).</w:t>
      </w:r>
    </w:p>
    <w:p>
      <w:r>
        <w:rPr>
          <w:b/>
        </w:rPr>
        <w:t>E. 4.1.1</w:t>
      </w:r>
    </w:p>
    <w:p>
      <w:r>
        <w:t>Die SUVA stellte anlässlich aller erwähnten Baustellenkontrollen Gerüstmängel bzw. Mängel im Bereich Absturzsicherung fest. So fehlte in X._______ der Seitenschutz und der Baustellenzugang bestand nur aus einem Gerüstbrett. Weiter war der Drehbereich des Baustellenkrans nicht abgeschrankt und keiner der im Schwenkbereich des Baustellenkrans arbeitenden Beschäftigten trug einen Schutzhelm (VI act. 2). Die SUVA hat deshalb eine Ermahnung ausgesprochen. In W._______ wurden ebenfalls etliche Mängel am Gerüst festgestellt, so der mangelnde Seitenschutz und die teilweise mangelhafte Abstützung des Gerüsts (VI act. 3). In U._______ wurden nebst einem fehlenden Seitenschutz über dem Zugang zur Garage sowie der Nichteinhaltung der Helmtragepflicht Mängel im Zusammenhang mit der Sicherung der Lichtschachtöffnung festgestellt, was wiederum zu einer Ermahnung führte (VI act. 5). In S.________ konstatierte die SUVA am 19. Mai 2009 eine fehlendes Fassadengerüst bei einer Absturzkante von 9,0 m sowie weitere Mängel am Gerüst, weshalb am 23. Juni 2009 eine weitere Ermahnung ausgesprochen werden musste (VI act. 10). Am 30. Oktober 2009 stellte die SUVA in Q.________ fest, dass das Fassadengerüst am Rohbau teilweise fehlte, obwohl die Absturzhöhe 3 Meter überschritt, dass zum Teil der Seitenschutz fehlte, und dass während der Rohbauarbeiten der Schutzhelm von den Mitarbeitern nicht getragen wurde, weshalb die SUVA der Beschwerdeführerin mit Schreiben vom 6. November 2009 eine Prämienerhöhung in Aussicht stellte. Am 18. November 2009 wurden in N._______ anlässlich einer weiteren Baustellenkontrolle wiederum Gerüstmängel (fehlende Absturzsicherung) sowie Mängel in der Helmtragepflicht festgestellt. Bei allen erwähnten Kontrollen wurden Mängel im Zusammenhang mit dem Gerüst bzw. mit der Absturzsicherung festgestellt. Mehrfach fehlten Gerüstteile, mehrfach der Seitenschutz. Die Beschwerdeführerin macht im Fall Q.________ geltend, das Gerüst sei von einer anderen Firma im Auftrag des Bauherrn direkt erstellt worden. Trotz mehrerer Reklamationen seien die Mängel nicht behoben worden und aus Kostengründen sei kein Baustopp erfolgt (act. 1 S. 2). Dies vermag indes die Beschwerdeführerin nicht zu entlasten. Sind an einem Arbeitsplatz mehrere Betriebe tätig, so haben deren Arbeitgeber die zur Wahrung der Arbeitssicherheit erforderlichen Absprachen zu treffen und die notwendigen Massnahmen anzuordnen (Art. 9 Abs. 1 Satz 1 VUV). Dass die Beschwerdeführerin nicht für die Erstellung des Gerüsts zuständig war, ist somit unerheblich, was sich im Übrigen auch aus Art. 3 BauAV ergibt. Dort wird die Planung von Bauarbeiten wie folgt geregelt: Bauarbeiten müssen so geplant werden, dass das Risiko von Berufsunfällen, Berufskrankheiten oder Gesundheitsbeeinträchtigungen möglichst klein und die notwendigen Sicherheitsmassnahmen, namentlich bei der Verwendung von Arbeitsmitteln, eingehalten werden können (Abs. 1). Auch der Einwand, dass ein Baustopp aus finanziellen Gründen nicht erfolgt sei, kann die Beschwerdeführerin nicht entlasten. Damit verkennt sie in grundlegender Art die zwingende Natur der Unfallschutzbestimmungen und der Verantwortung, welche den Arbeitgebenden bei der Umsetzung zukommt (vgl. Art. 82 Abs. 2 UVG, Art. 6 Abs. 3 und Art. 7 Abs. 2 VUV). Im Schreiben vom 19. November 2009 (VI act. 20) machte die Beschwerdeführerin zur Baustelle Q.________ zusätzlich geltend, dass sie "die jetzigen Mängel so interpretiere, dass beim Ausschalen gewisse Gerüstpartien kurzfristig entfernt und nicht sofort wieder montiert worden seien". Auch dieser Einwand ist unbehelflich, da diese Interpretation durch nichts gestützt wird und zudem diese Gerüstpartien sofort wieder hätten montiert werden müssen. Insgesamt sind etliche dokumentierte Mängel im Bereich Gerüst/Absturzsicherung festzustellen.</w:t>
      </w:r>
    </w:p>
    <w:p>
      <w:r>
        <w:rPr>
          <w:b/>
        </w:rPr>
        <w:t>E. 4.1.2</w:t>
      </w:r>
    </w:p>
    <w:p>
      <w:r>
        <w:t>Die Helmtragepflicht wurde mehrfach verletzt. Der wiederholt vorge­brachte Einwand der Beschwerdeführerin, dass die Helmtragpflicht jeden Tag "doktriert", aber nicht zu 100 Prozent durchgesetzt werden könne (VI act. 22, act. 1, S. 2) kann die Beschwerdeführerin ebenfalls nicht entlasten. Gemäss Art. 4 Abs. 1 BauAV muss der Arbeitgebende auf jeder Baustelle eine Person bezeichnen, die für die Arbeitssicherheit und den Gesundheitsschutz zuständig ist; diese Person kann den Arbeitnehmerinnen und Arbeitnehmern diesbezügliche Weisungen erteilen. Gemäss Art. 4 Abs. 2 BauAV ist von der Baustelle wegzuweisen, wer durch sein Verhalten oder seinen Zustand sich selbst oder andere gefährdet. Die Beschwerdeführerin macht geltend, "die Mitarbeiter seien bestens unterrichtet und instruiert, wie und wo die SUVA-Vorschriften eingehalten werden müssen" (act. 1 S. 2). Dies sowie die Übertragung von Aufgaben der Arbeitssicherheit entbindet den Arbeitgeber aber nicht von seiner Verantwortung für die Einhaltung der Arbeitssicherheit (vgl. Art. 82 Abs. 1 UVG, Art. 7 Abs. 2 VUV; unveröffentlichtes Urteil der Rekurskommission UV REKU 585/04 vom 14. November 2005 E. 7). Widersetzt sich ein Arbeitnehmender beharrlich, sich dem Helmobligatorium zu unterziehen, kann dies als besonders schwere Verfehlung qualifiziert werden, die - entgegen der im Schreiben vom 20. Mai 2010 (VI act. 22) geäusserten Ansicht der Beschwerdeführerin - eine Auflösung des Arbeitsverhältnisses rechtfertigt (Urteil des Bundesgerichts 4C.161/2000 vom 28. Juli 2000 E. 2). Weiter machte die Beschwerdeführerin zunächst geltend, es stehe nicht fest, dass es sich um eigene Mitarbeiter handle, welche auf der Baustelle in Q.________ ohne Helm arbeiteten, da dort Arbeiter von ca. 10 Firmen tätig gewesen seien (act. 1, S. 2). In der Replik äussert sie sich dann dahingehend, dass tatsächlich ein eigener Kranführer den Helm nicht trage, dies aus gesundheitlichen Gründen. Die SUVA hingegen stellt sich auf den Standpunkt, dass auf dem Beweisfoto mindestens 3 Mitarbeiter der Beschwerdeführerin zu sehen seien (act. 12) und dass der vor Ort anwesende Mitarbeiter der Vorinstanz nach Rücksprache mit den anwesenden Mitarbeitern mindestens 3 Personen ohne Helm dem Betrieb der Beschwerdeführerin habe zuordnen können (act. 8). Letztlich kann die Frage, wie viele firmeneigene Mitarbeiter den Helm auf der Baustelle in Q.________ nicht trugen, offengelassen werden. Denn es ist unbestritten, dass einerseits zumindest der Kranführer keinen Helm trug und er auch nicht davon befreit werden kann. Der "Leitfaden für das Durchführungsverfahren in der Arbeitssicherheit" der EKAS (EKAS-Leitfaden) sieht in der Wegleitung Nr. 306.11 u. a. Folgendes vor: "Wer eine bestimmte Schutzeinrichtung beispielsweise aus gesundheitlichen Gründen nicht verwenden kann, eignet sich für die betreffende Tätigkeit nicht." Andererseits steht auch fest, dass es sich auf anderen kontrollierten Baustellen mehrfach um Mitarbeiter der Beschwerdeführerin handelte, welche der Helmtragepflicht nicht nachgekommen waren.</w:t>
      </w:r>
    </w:p>
    <w:p>
      <w:r>
        <w:rPr>
          <w:b/>
        </w:rPr>
        <w:t>E. 4.1.3</w:t>
      </w:r>
    </w:p>
    <w:p>
      <w:r>
        <w:t>Insgesamt ist deshalb festzustellen, dass etliche Verstösse gegen geltende Bauvorschriften vorliegen; insbesondere wurden immer wieder Mängel bei der Absturzsicherung sowie die Verletzung der Helmtragepflicht festgestellt.</w:t>
      </w:r>
    </w:p>
    <w:p>
      <w:r>
        <w:rPr>
          <w:b/>
        </w:rPr>
        <w:t>E. 4.2</w:t>
      </w:r>
    </w:p>
    <w:p>
      <w:r>
        <w:t>Es bleibt zu prüfen, ob die Höhereinreihung im Prämientarif in korrekter Anwendung der gesetzlichen Zuständigkeitsregeln und unter Beachtung der allgemeinen Grundsätze des Verwaltungshandelns verfügt wurde.</w:t>
      </w:r>
    </w:p>
    <w:p>
      <w:r>
        <w:rPr>
          <w:b/>
        </w:rPr>
        <w:t>E. 4.2.1</w:t>
      </w:r>
    </w:p>
    <w:p>
      <w:r>
        <w:t>Nach Art. 66 Abs. 2 VUV ordnet das zuständige Durchführungsorgan die Prämienerhöhung nach Art. 113 Abs. 2 UVV an. Der zuständige Versicherer hat unverzüglich eine Verfügung betreffend Höhereinreihung zu erlassen. Für Betriebe des Baugewerbes ist die SUVA gemäss Art. 49 Ziff. 11 VUV zuständiges Durchführungsorgan für die Aufsicht betreffend Einhaltung der Unfallverhütungsvorschriften und gemäss Art. 66 Abs. 1 Bst. b UVG der zuständige Unfallversicherer. Vorliegend war die SUVA demnach sowohl für die Anordnung der Massnahme als auch für den Erlass der Verfügung zuständig.</w:t>
      </w:r>
    </w:p>
    <w:p>
      <w:r>
        <w:rPr>
          <w:b/>
        </w:rPr>
        <w:t>E. 4.2.2</w:t>
      </w:r>
    </w:p>
    <w:p>
      <w:r>
        <w:t>Gemäss Art. 113 Abs. 2 UVV haben Zuwiderhandlungen gegen Vorschriften zur Verhütung von Unfällen in der Regel eine Höhereinreihung des betreffenden Betriebs in eine Stufe mit einem mindestens 20 % höheren Prämiensatz zur Folge. Die Sanktion greift ungeachtet der Schwere des Verstosses. Das Eidgenössische Versicherungsgericht (EVG) hat die­se Ordnung grundsätzlich als mit dem Verhältnismässigkeitsprinzip und dem Willkürverbot vereinbar bezeichnet (Urteil EVG U 240/03 vom 2. Juni 2004, veröffentlicht in Kranken- und Unfallversicherung, Rechtsprechung und Verwaltungspraxis [RKUV] 2004 Nr. U 525 S. 549 E. 6.3 mit Hinweis auf BGE 116 V 255 E. 4b und c). Die verfügte Sanktion muss sich aber auch im Einzelfall als verhältnismässig erweisen (BGE 116 V 255 E. 4b, BVGE 2010/37 E. 2.4.2.2, Urteil REKU 556/03 vom 17. Juni 2004, VPB 68.170, E. 5).</w:t>
      </w:r>
    </w:p>
    <w:p>
      <w:r>
        <w:rPr>
          <w:b/>
        </w:rPr>
        <w:t>E. 4.2.3</w:t>
      </w:r>
    </w:p>
    <w:p>
      <w:r>
        <w:t>Die SUVA hat den Betrieb der Beschwerdeführerin für die Dauer von einem Jahr um 4 Stufen höher im Prämientarif eingereiht. Der Prämiensatz erhöhte sich dadurch von 4,720 Prozent (Stufe 113) auf 5,740 Prozent (Stufe 117), d. h. um ca. 22 Prozent. Damit hat die Vorinstanz die Höhereinreihung gemäss der in Art. 113 Abs. 2 UVV vorgegebenen Regel vorgenommen, denn die Anwendung des nächst tieferen Satzes (Stufe 116) mit einem Prämiensatz von 5,470 Prozent hätte nur eine Erhöhung um ca. 16 Prozent zur Folge gehabt. Die Beschwerdeführerin wurde seit 2007 insgesamt drei Mal ermahnt, weil auf ihren Baustellen verschiedene Vorschriften zur Unfallverhütung nicht eingehalten wurden. In den beiden Ermahnungen vom 2. Februar 2009 und vom 23. Juni 2009 wies die SUVA den Betrieb auf die mögliche Sanktion gemäss Art. 92 Abs. 3 UVG hin. Mit Schreiben vom 6. November 2009 im Zusammenhang mit der erneuten Feststellung von Mängeln auf einer Baustelle (N._______) kündigte sie die Prämienerhöhungen und gewährte der Beschwerdeführerin das rechtliche Gehör. Vor diesem Hintergrund kann eine Erhöhung des Prämiensatzes von 4'720% auf 5'740% für die Dauer eines Jahres nicht als unverhältnismässig und auch nicht als "willkürlich und nur im Interesse der SUVA", wie dies die Beschwerdeführerin geltend macht (act. 1, S. 1), bezeichnet werden.</w:t>
      </w:r>
    </w:p>
    <w:p>
      <w:r>
        <w:rPr>
          <w:b/>
        </w:rPr>
        <w:t>E. 4.2.4.1</w:t>
      </w:r>
    </w:p>
    <w:p>
      <w:r>
        <w:t>Die Beschwerdeführerin rügt weiter, die SUVA habe eine Monopolstellung inne (act. 1 S. 1). Dazu ist festzuhalten dass der Gesetzgeber ausdrücklich wollte, dass gewisse Betriebe je nach Tätigkeitsbereich ausschliesslich von der SUVA zu versichern sind (vgl. Art. 66 Abs. 1 UVG). Diese gesetzliche Regelung ist vom Bundesverwaltungsgericht an dieser Stelle nicht zu überprüfen; es prüft nur, ob die SUVA die gesetzlichen Regelungen beachtet und richtig angewendet hat.</w:t>
      </w:r>
    </w:p>
    <w:p>
      <w:r>
        <w:rPr>
          <w:b/>
        </w:rPr>
        <w:t>E. 4.2.4.2</w:t>
      </w:r>
    </w:p>
    <w:p>
      <w:r>
        <w:t>In der Beschwerde verweist die Beschwerdeführerin auf ihre Einsprache vom 20. Mai 2010. Dort machte sie sinngemäss geltend, das Gleichbehandlungsgebot würde verletzt. Als Beweis legte sie mehrere Kopien von Digitalfotos bei, auf welchen einige fremde Baustellen zu sehen seien, bei welchen - prima vista - ebenfalls Mängel im Bereich Sicherheit vorhanden sind und welche laut der Beschwerdeführerin nicht kontrolliert würden. Dies führe zu einer Verletzung des Gleichbehandlungsgebots. Hier ist den Ausführungen der Vorinstanz beizupflichten, wonach eine flächendeckende Kontrolle aller Baustellen durch die SUVA als Durchführungsorgan nicht möglich und deshalb nach dem Stichprobenprinzip vorzugehen sei (VI act. 24, S. 4). Dies hat tatsächlich zur Folge, dass oftmals Baustellen von den Durchführungsstellen nicht kontrolliert und deshalb die dortigen Mängel nicht geahndet werden können. Dies hat indes nicht zur Folge, dass das Rechtsgleichheitsgebot verletzt wird. Der Anspruch auf Rechtsgleichheit (Art. 8 Abs. 1 BV) gebietet, Gleiches nach Massgabe der Gleichheit gleich und Ungleiches nach Massgabe der Ungleichheit ungleich zu behandeln. Das Rechtsgleichheitsgebot wird insbesondere verletzt, wenn gleiche Sachverhalte ohne sachlichen Grund ungleich behandelt werden (BGE 131 I 91 E. 3.4 mit Hinweisen). Das Rechtsgleichheitsgebot wäre demnach dann verletzt, wenn die anlässlich von Stichproben festgestellten Mängel nicht gleich geahndet oder z. B. immer dieselben Arbeitgeber kontrolliert würden und andere nicht. Dafür liegen hier keine Anhaltspunkte vor. Die Nachfrage der SUVA bei der Beschwerdeführerin nach dem genauen Standort der fotographierten Baustellen blieb im Übrigen mit Hinweis auf die zwischenzeitlich erfolgte Veränderung im Baufortschritt unbeantwortet (VI act. 24, S. 4).</w:t>
      </w:r>
    </w:p>
    <w:p>
      <w:r>
        <w:rPr>
          <w:b/>
        </w:rPr>
        <w:t>E. 4.2.4.3</w:t>
      </w:r>
    </w:p>
    <w:p>
      <w:r>
        <w:t>Die Beschwerdeführerin macht weiter geltend, "es sei nicht akzeptabel, dass eine Prämienerhöhung wegen eventuellem Versagen der Mitarbeiter alleine der Arbeitgeber tragen muss" (act. 1 S. 2). Hier ist ebenfalls der Vorinstanz beizupflichten, wonach Art. 82 UVG, der vorweg den Arbeitgeber in die Pflicht nimmt, alle notwendigen Massnahmen zu treffen, um Berufsunfälle und Berufskrankheiten zu vermeiden, zwingenden Charakter hat (VI act. 14 und 21; vgl. auch Urteil des Bundesgerichts [6S.447/2003] vom 1. April 2004 E. 3.1). Art. 6 Abs. 3 VUV schreibt zudem vor, dass Arbeitgeber dafür zu sorgen haben, dass die Arbeitnehmer die Massnahmen der Arbeitssicherheit einhalten; Art. 7 Abs. 2 VUV wiederum hält fest, dass die Übertragung solcher Aufgaben an einen Arbeitnehmer den Arbeitgeber nicht von seinen Verpflichtungen für die Arbeitssicherheit entbinden. Letztlich ist immer der Arbeitgeber für die Einhaltung der Sicherheitsvorschriften verantwortlich. Direkte präventive Sanktionierungsmöglichkeiten gegenüber Arbeitnehmern wegen Verletzung von Sicherheitsvorschriften sind im UVG nicht vorgesehen. Es bleibt dem Arbeitgeber überlassen, allenfalls fehlbare Mitarbeiter im Rah­men der arbeitsvertraglichen Regelung zur Verantwortung zu ziehen.</w:t>
      </w:r>
    </w:p>
    <w:p>
      <w:r>
        <w:rPr>
          <w:b/>
        </w:rPr>
        <w:t>E. 4.2.4.4</w:t>
      </w:r>
    </w:p>
    <w:p>
      <w:r>
        <w:t>Die Ausführungen der Beschwerdeführerin, wonach die SUVA v.a. die Leistungen an Scheininvalide besser kontrollieren solle, wodurch willkürlich Prämienerhöhungen vermieden werden könnten (VI act. 22), betrifft die angefochtene Verfügung nicht und ist deshalb hier nicht weiter zu erörtern.</w:t>
      </w:r>
    </w:p>
    <w:p>
      <w:r>
        <w:rPr>
          <w:b/>
        </w:rPr>
        <w:t>E. 4.3</w:t>
      </w:r>
    </w:p>
    <w:p>
      <w:r>
        <w:t>Zusammenfassend erweist sich die Verfügung vom 22. April 2010 betreffend Prämienerhöhung als korrekt. Die Vorinstanz hat die dagegen erhobene Beschwerde zurecht abgewiesen. Der angefochtene Einspracheentscheid vom 24. Juni 2010 ist deshalb zu bestätigen und die Beschwerde abzuweisen.</w:t>
      </w:r>
    </w:p>
    <w:p>
      <w:r>
        <w:rPr>
          <w:b/>
        </w:rPr>
        <w:t>E. 5</w:t>
      </w:r>
    </w:p>
    <w:p>
      <w:r>
        <w:t>Zu befinden bleibt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 und mit dem geleisteten Kostenvorschuss in gleicher Höhe zu verrechnen.</w:t>
      </w:r>
    </w:p>
    <w:p>
      <w:r>
        <w:rPr>
          <w:b/>
        </w:rPr>
        <w:t>E. 5.2</w:t>
      </w:r>
    </w:p>
    <w:p>
      <w:r>
        <w:t>Der obsiegenden Partei kann von Amtes wegen oder auf Begehren eine Entschädigung für ihr erwachsende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