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C-5277/2008 vom 30. April 2009</w:t>
      </w:r>
    </w:p>
    <w:p>
      <w:r>
        <w:t>Bundesverwaltungsgericht, 2009-04-30, DE</w:t>
      </w:r>
    </w:p>
    <w:p>
      <w:r>
        <w:rPr>
          <w:b/>
        </w:rPr>
        <w:t xml:space="preserve">Quelle: </w:t>
      </w:r>
      <w:r>
        <w:t>https://mcp.opencaselaw.ch/entscheid/bvger_C-5277_2008</w:t>
      </w:r>
    </w:p>
    <w:p>
      <w:r>
        <w:t>FR: TAF C-5277/2008 du 30 avril 2009</w:t>
      </w:r>
    </w:p>
    <w:p>
      <w:r>
        <w:t>IT: TAF C-5277/2008 del 30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unterliegen die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aber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&lt;http://www.auswaertiges-amt.de&gt;, Stand: November 2008 und &lt;http://www.eda.admin.ch&gt;, Stand: Juli 2008 bzw. Januar 2009; vgl. auch BVGE 2008/2 E. 7.2 bis 7.5). In den vergangenen Wochen und Monaten ist die sri-lankische Armee in die letzten von den tamilischen Rebellen kontrollierten Gebiete vorgerückt und hat die LTTE weiter zurückgedrängt. Doch auch wenn der Armeechef kürzlich in einer Fernsehansprache erklärte, das Ende des 25-jährigen Bürgerkriegs sei in greifbare Nähe gerückt, so ist diese Ankündigung angesichts der vielen gleichartigen Erklärungen in den vergangenen Monaten zu relativieren. Es ist schwer abzuschätzen, über welche Reserven die LTTE noch verfügen. Zudem gibt es seit dem Beginn der jüngsten Offensive im Norden keine unabhängigen Berichte aus dem Krisengebiet mehr, da Journalisten und Helfern der Zugang dorthin verwehrt wird (zur neueren Entwicklung vgl. Neue Zürcher Zeitung vom 27. Januar 2009, S. 3).</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Nachdem die Anzahl der Gesuche 2007 im Vergleich zum Vorjahr schon um fast 90% zugenommen hatte, stieg die Anzahl der Gesuche im Jahre 2008 wegen der Eskalation des bewaffneten Konfliktes im Vergleich zum Vorjahr nochmals um 98.4% (vgl. BFM-Asylstatistik 2008 vom 12. Januar 2009, S. 4 und 9).</w:t>
      </w:r>
    </w:p>
    <w:p>
      <w:r>
        <w:rPr>
          <w:b/>
        </w:rPr>
        <w:t>E. 8.1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8.2</w:t>
      </w:r>
    </w:p>
    <w:p>
      <w:r>
        <w:t>Bei den aus dem Norden (Vavuniya) und somit aus einem Krisengebiet stammenden Gesuchstellern handelt es sich um ein Ehepaar im Alter von knapp 55 respektive 46 Jahren. Laut den Angaben des Beschwerdeführers soll der Ehemann als Buchhalter im örtlichen Gesundheitsdepartement, dessen Ehefrau als Assistentin des Direktors der dortigen landwirtschaftlichen Schule tätig sein. Gemäss den vorliegenden Lohnabrechnungen von März bzw. April 2008 sollen sie zusammen ein monatliches (Netto-)Gehalt von rund 63'350 LKR (srilankische Rupien) beziehen, was dem Gegenwert von ungefähr 630 CHF entspricht. In diesem Zusammenhang wies allerdings die Schweizerische Botschaft in Colombo in ihrer Stellungnahme vom 9. Oktober 2008 gegenüber der Vorinstanz darauf hin, der von Hand ausgefüllte Lohnausweis des Gesuchstellers weise keinen offiziellen Charakter auf. Zudem habe der Eingeladene lediglich einen vom regionalen Büro des Ministeriums für Gesundheit bestätigten Antrag für Auslandurlaub, jedoch keine vom zuständigen Ministerium in Colombo beglaubigte Ausreiseerlaubnis, welche für Staatsangestellte obligatorisch sei, vorlegen können. Trotz gewährtem Replikrecht unterliess es der Beschwerdeführer in der Folge, zu den aufgezeigten Ungereimtheiten Stellung zu nehmen und damit zur Klärung des rechtserheblichen Sachverhalts beizutragen. Vor diesem Hintergrund erscheint fraglich, ob die Gesuchsteller, wie vom Beschwerdeführer behauptet, tatsächlich über eine massgebliche berufliche Verankerung bzw. eine gesicherte wirtschaftliche Existenz in ihrem Heimatland verfügen, die sie verlässlich von einer Emigration abzuhalten vermöchten.</w:t>
      </w:r>
    </w:p>
    <w:p>
      <w:r>
        <w:rPr>
          <w:b/>
        </w:rPr>
        <w:t>E. 8.3</w:t>
      </w:r>
    </w:p>
    <w:p>
      <w:r>
        <w:t>Dass der Zuwanderungsdruck von Personen aus Sri Lanka in grossem Ausmass anhält und die Sicherheitslage im Norden des Landes prekär ist, wurde bereits erwähnt. So rät auch das EDA von Reisen ins gesamte Gebiet nördlich der Strassen A 12 und A 11 (Puttalam - Anurudhapura - Polonnaruwa) ab, wozu auch Vavuniya gehört (Quelle: Reisehinweise auf der Webseite des EDA, www.eda.admin.ch, Stand: 12. Februar 2009, besucht im April 2009). Nicht zuletzt aufgrund der Menschenrechtsverletzungen hat die Zahl der Asylsuchenden, die aus Vavuniya stammen, stark zugenommen. In einem dem Bundesverwaltungsgericht vom BFM zur Kenntnis gebrachten Fall hat ein Ehepaar aus dieser Ortschaft, welches früher mehrmals in der Schweiz zu Besuch gewesen war und dem im März 2008 wiederum eine Einreisebewilligung ausgestellt worden war, im Oktober 2008 in der Schweiz Asylgesuche gestellt.</w:t>
      </w:r>
    </w:p>
    <w:p>
      <w:r>
        <w:rPr>
          <w:b/>
        </w:rPr>
        <w:t>E. 8.4</w:t>
      </w:r>
    </w:p>
    <w:p>
      <w:r>
        <w:t>Zu berücksichtigen gilt es im Weitern, dass das (kinderlose) Ehepaar beabsichtigt, gemeinsam in die Schweiz zu reisen. Damit hätten die Gesuchsteller in der Heimat keine erkennbaren familiären Verpflichtungen mehr, welche gegebenenfalls die Prognose einer fristgerechten und anstandslosen Wiederausreise begünstigen könnten. Demgegenüber verfügen sie mit dem inzwischen eingebürgerten Gastgeber und Beschwerdeführer bereits über eine enge Bezugsperson in der Schweiz. Ebenso ist dem Umstand Rechnung zu tragen, dass auch zwei Schwestern des Eingeladenen sowie eines der sechs Geschwister seiner Ehefrau Sri Lanka definitiv verlassen haben und in die Schweiz respektive in die Bundesrepublik Deutschland übersiedelt sind, woraus auf einen konkreten Migrationswillen im nächsten Umfeld der Gesuchsteller geschlossen werden kann. Vor diesem Hintergrund müssen die Beteuerungen auf Beschwerdeebene, wonach genügend Garantien für eine fristgerechte Wiederausreise vorhanden seien, als nicht ausschlaggebend bezeichnet werden. Insbesondere der Umstand, dass die Eingeladenen eine Auslandabwesenheit von nicht nur wenigen Wochen, sondern gleich von mehreren Monaten planen, lässt darauf schliessen, dass ihnen im Heimatland offensichtlich keine zwingenden Verpflichtungen obliegen, die sie ernsthaft davon abhalten könnten, den Entschluss für eine Emigration zu fällen.</w:t>
      </w:r>
    </w:p>
    <w:p>
      <w:r>
        <w:rPr>
          <w:b/>
        </w:rPr>
        <w:t>E. 8.5</w:t>
      </w:r>
    </w:p>
    <w:p>
      <w:r>
        <w:t>Unter den gegebenen Umständen durfte die Vorinstanz zu Recht davon ausgehen, es bestehe zu wenig Gewähr im Sinne der massgeblichen Bestimmungen. An der Richtigkeit dieser Einschätzung ändert auch die Tatsache nichts, dass der Gastgeber die rechtzeitige Rückkehr der eingeladenen Verwandten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C-2618/2008 vom 26. Februar 2009 E. 11 und C-8300/2007 vom 19. November 2008 E. 5.3).</w:t>
      </w:r>
    </w:p>
    <w:p>
      <w:r>
        <w:rPr>
          <w:b/>
        </w:rPr>
        <w:t>E. 9</w:t>
      </w:r>
    </w:p>
    <w:p>
      <w:r>
        <w:t>Aus diesen Gründen ist nicht zu beanstanden, dass die Vorinstanz das öffentliche Interesse sowie die Beachtung der geltenden Bestimmungen entsprechend gewichtete und den Gesuchstellern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