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C-5275/2019 vom 20. November 2020</w:t>
      </w:r>
    </w:p>
    <w:p>
      <w:r>
        <w:t>Bundesverwaltungsgericht, 2020-11-20, FR</w:t>
      </w:r>
    </w:p>
    <w:p>
      <w:r>
        <w:rPr>
          <w:b/>
        </w:rPr>
        <w:t xml:space="preserve">Quelle: </w:t>
      </w:r>
      <w:r>
        <w:t>https://mcp.opencaselaw.ch/entscheid/bvger_C-5275_2019</w:t>
      </w:r>
    </w:p>
    <w:p>
      <w:r>
        <w:t>FR: TAF C-5275/2019 du 20 novembre 2020</w:t>
      </w:r>
    </w:p>
    <w:p>
      <w:r>
        <w:t>IT: TAF C-5275/2019 del 20 novembre 2020</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Ayant son domicile en France voisine, la recourante doit être qualifiée de frontalière si bien que la procédure d'instruction de la demande de prestations de l'assurance-invalidité a à bon droit été menée par l'office AI du canton de Bâle-Ville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Dans le cas d'espèce, la décision attaquée ayant été rendue le 4 septembre 2019, il y a lieu de s'en tenir aux faits survenus et d'appliquer le droit en vigueur jusqu'à cette date. Cela étant, la documentation médicale versée en cause durant la procédure judiciaire ne sera prise en considération que dans la mesure où elle permet d'apprécier l'état de fait juridiquement pertinent au cas d'espèce.</w:t>
      </w:r>
    </w:p>
    <w:p>
      <w:r>
        <w:rPr>
          <w:b/>
        </w:rPr>
        <w:t>E. 3</w:t>
      </w:r>
    </w:p>
    <w:p>
      <w:r>
        <w:t>En l'occurrence, le litige s'inscrit dans le contexte du droit à une rente limitée dans le temps. Vu les conclusions de la recourante, il porte en particulier sur le maintien, au-delà du 30 novembre 2016, de la rente entière accordée depuis le 1er novembre 2015. Cela étant, quand bien même l'assurée conteste uniquement la suppression des prestations, le pouvoir d'examen du Tribunal n'est pas limité à ce seul aspect, mais peut porter également sur la période à propos de laquelle l'octroi de la rente n'est pas remis en cause (ATF 125 V 413).</w:t>
      </w:r>
    </w:p>
    <w:p>
      <w:r>
        <w:rPr>
          <w:b/>
        </w:rPr>
        <w:t>E. 4</w:t>
      </w:r>
    </w:p>
    <w:p>
      <w:r>
        <w:t>S'agissant du droit matériel applicable, la cause présente un élément d'extranéité puisque la recourante, domiciliée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Ce nonobstant,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 en vigueur jusqu'à la date de la décision attaquée.</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LPGA - applicable par analogie dans les cas d'octroi d'une rente limitée dans le temps (ATF 125 V 413 ; TF 9C_647/2017 du 12 janvier 2018 consid. 3 ;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88a al. 1 du règlement du 17 janvier 1961 sur l'assurance-invalidité (RAI; RS 831.201),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4.2.1</w:t>
      </w:r>
    </w:p>
    <w:p>
      <w:r>
        <w:t>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ladite autorité doit encore s'assurer que l'atteinte à la santé résiste aux motifs d'exclusion, tels que l'exagération des symptômes ou d'autres manifestations analogues, qui conduiraient d'emblée à nier le droit à la rente (ATF 143 V 418, 143 V 409, 141 V 281).</w:t>
      </w:r>
    </w:p>
    <w:p>
      <w:r>
        <w:rPr>
          <w:b/>
        </w:rPr>
        <w:t>E. 4.2.2</w:t>
      </w:r>
    </w:p>
    <w:p>
      <w:r>
        <w:t>Selon la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TAF 143 V 409 et 143 V 418).</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w:t>
      </w:r>
    </w:p>
    <w:p>
      <w:r>
        <w:rPr>
          <w:b/>
        </w:rPr>
        <w:t>E. 4.3.1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w:t>
      </w:r>
    </w:p>
    <w:p>
      <w:r>
        <w:rPr>
          <w:b/>
        </w:rPr>
        <w:t>E. 4.3.2</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d'expertises médicaux (ATF 125 V 351 consid. 3b p. 352 ; cf. également TF 9C_55/2016 du 14 juillet 2016 consid. 3). Ainsi, le juge ne s'écarte en principe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125 V 351 consid. 3b/aa p. 352 ss). En d'autres termes, même s'il apprécie librement les preuves, le juge ne saurait toutefois, sans motifs sérieux, substituer son opinion à celle de l'expert; en l'absence de tels motifs, il s'expose au reproche d'arbitraire (ATF 135 V 465 consid. 4.4 p. 469 s.; 118 Ia 144).</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Dans le cas d'espèce, ayant débuté une carrière en Suisse en 1988, l'assurée réunit les conditions de cotisations. Par ailleurs, il est admis de part et d'autre que celle-ci présente des troubles de nature psychique essentiellement. Ainsi, tant les atteintes neurologiques que le syndrome d'apnée du sommeil évoqués en cours d'instruction - respectivement, en procédure judiciaire - ont en fin de compte été exclus par les spécialistes sollicités, sans que cela ne soit remis en cause par la recourante (OAIE pce 112 et TAF pces 3, 7 et 16). Demeure partant seule litigieuse la question du droit de l'assurée à des prestations en raison de ses troubles psychiques. Aussi, se basant principalement sur les conclusions de l'expert L._______ (OAIE pce 89) - reprises par le médecin SMR K._______ (OAIE pces 91 et 113) -, la décision attaquée retient que suite à son licenciement de novembre 2014, l'assurée a présenté un trouble dépressif incompatible avec l'exercice d'une activité lucrative ; depuis septembre 2016, cette atteinte est en rémission (CIM-10 F33.4) et l'intéressée dispose d'une capacité de travail résiduelle de 70 % dans sa profession habituelle, ce en dépit de l'accentuation de certains traits de la personnalité qu'elle présente (CIM-10 Z73.1). En regard à une nouvelle hospitalisation en clinique psychiatrique intervenue en novembre 2019 (TAF pce 14), l'autorité inférieure admet la nécessité de compléter l'instruction quant à l'éventuelle péjoration de l'état de santé de l'intéressée depuis la réalisation en 2018 de l'expertise du Dr L._______ (TAF pce 22 ; OAIE pces 119 et 121). Renvoyant de son côté essentiellement aux appréciations de sa médecin traitant la Dre E._______, la recourante soutient ne jamais avoir recouvré de capacité de travail depuis son licenciement (TAF pce 1).</w:t>
      </w:r>
    </w:p>
    <w:p>
      <w:r>
        <w:rPr>
          <w:b/>
        </w:rPr>
        <w:t>E. 5.1</w:t>
      </w:r>
    </w:p>
    <w:p>
      <w:r>
        <w:t>En l'occurrence, pour fournir ses conclusions, le Dr L._______ a procédé à l'examen personnel de l'assurée, a relayé et tenu compte des plaintes subjectives de celle-ci et a réalisé les examens jugés utiles. Son rapport du 8 mai 2018 établit une anamnèse précise et énonce de façon circonstanciée le contexte médical dans lequel s'insère l'expertise. Aussi, l'expert fait-il preuve de clarté lorsqu'il se prononce sur les diagnostics en présence. En particulier, ce dernier énonce précisément les critères et circonstances faisant admettre chez l'assurée un trouble dépressif récurrent actuellement en rémission (CIM-10 F33.4). A cet égard, on comprend aisément que les symptômes caractéristiques de ce trouble - soit notamment les épisodes de dépression et d'anxiété ainsi que la perte d'intérêt et de motivation - ont été rapportés après le licenciement de l'assurée mais ne sont plus observés au jour de l'expertise, où l'assurée décrit une routine quotidienne corroborant la phase de rémission. Ensuite, lorsqu'il constate chez celle-ci une accentuation de certains traits de la personnalité (CIM-10 Z73.1), le Dr L._______ explique précisément les raisons excluant l'existence d'une problématique de personnalité ayant valeur de trouble mental. En particulier, les diagnostics différentiels relevant de la catégorie CIM-10 F43.- « réaction à un facteur de stress sévère et des troubles de l'adaptation » - évoqués par certains médecins consultés - sont expressément exclus au regard notamment de la gravité des symptômes observés et en référence aux critères de classification déterminants. Ainsi, de manière suffisamment détaillée, l'expert explique que la carrière professionnelle menée par l'assurée n'est pas compatible avec le diagnostic de trouble de la personnalité et qu'un épisode de stress post-traumatique doit être écarté en l'absence de flash-back ou d'autres symptômes caractéristiques (rapport d'expertise, p. 13 et 14). Cela étant, si la discussion menée dans la phase diagnostic de l'expertise apparait cohérente, les conclusions de Dr L._______ relatives à la capacité de travail de l'assurée peinent à convaincre. Ainsi, s'agissant de la situation prévalant depuis septembre 2016, ce médecin retient que seule l'accentuation par l'assurée de certains traits de la personnalité a des répercussions sur la capacité de travail. Singulièrement, il observe qu'en raison de ses problèmes narcissiques et de ses traits de personnalité accentués, l'assurée présente une certaine susceptibilité (« [...] mit einer gewissen Kränkbarkeit ») pouvant l'amener, lorsqu'elle se sent offensée, à développer des humeurs dépressives, des troubles de la concentration et de l'attention ainsi qu'un sentiment d'être dépassée et une instabilité émotionnelle (rapport d'expertise, p. 21). Partant, l'expert reconnaît l'assurée capable d'exercer son activité habituelle de vendeuse à raison de six heures par jour pour une occupation à temps complet (« Die Versicherte kann in der zuletzt ausgeübten Tätigkeit als Verkäuferin während sechs Stunden pro Tag anwesend sein bei Leistungsfähigkeit von 100 % »), ce qui représente un rendement de 70 % (rapport d'expertise p. 22). Or, si l'on ne saurait minimiser l'incidence que peut avoir la structure de la personnalité sur la capacité de travail (cf. dans ce sens : ATF 141 V 281 consid. 4.3.2), il apparaît contradictoire d'admettre que la seule accentuation de traits de la personnalité - dans la mesure où elle constitue non pas un trouble ayant valeur de maladie, mais un simple facteur influant sur l'état de santé (catégorie Z00 - Z99 de la CIM-10) - occasionne une restriction si conséquente de la capacité de travail (pour un cas comparable, cf. TF 9C_585/2019 du 3 juin 2020 consid. 4). Une telle conclusion surprend d'autant plus que l'expert note chez l'intéressée un fonctionnement psychosocial intact (« eine intakte psychosoziale Funktionsfähigkeit », rapport d'expertise p. 21), une bonne capacité de communication, ainsi qu'une pleine capacité à s'adapter, à entretenir des contacts sociaux et à évoluer dans un groupe (« Gruppenfähigkeit », rapport d'expertise, p. 22). Ainsi, quand bien même de légères limitations de la flexibilité et de la capacité à planifier et à décider sont également observées en certaines circonstances (rapport d'expertise, p. 22), force est de constater que l'assurée dispose de ressources significatives. De là, on comprend difficilement que les traits de personnalité de l'assurée, soient-ils accentués, expliquent effectivement une perte de rendement de 30 % (TF 9C_369/2019 du 17 mars 2020 consid. 5.4 et 9C_756/2018 du 17 avril 2019). En définitive, même à admettre qu'un trouble n'ayant pas valeur de maladie puisse justifier une incapacité de gain (cf. art. 7 et 8 LPGA ; ATF 141 V 281 consid. 2.1 ; TF 9C_369/2019 précité), l'appréciation par l'expert de la capacité de travail de l'assurée apparait contradictoire ou, du moins, n'est pas motivée de façon suffisamment circonstanciée. Au demeurant, cette appréciation n'est pas non plus convaincante à la lumière des indicateurs déterminants. Outre la problématique relative au complexe « personnalité » évoquée ci-avant, il apparaît en particulier incohérent de retenir une baisse de rendement de 30 % dans l'activité professionnelle tout en excluant une telle limitation dans les autres domaines de la vie (rapport d'expertise, p. 19 et 20).</w:t>
      </w:r>
    </w:p>
    <w:p>
      <w:r>
        <w:rPr>
          <w:b/>
        </w:rPr>
        <w:t>E. 5.2</w:t>
      </w:r>
    </w:p>
    <w:p>
      <w:r>
        <w:t>Partant de ce qui précède, aucune valeur probante ne saurait être reconnue à l'expertise du Dr L._______. Par conséquent, il manque au dossier une appréciation médicale sur la répercussion des troubles psychiques qui satisfasse pleinement aux exigences en la matière (cf. ATF 125 V 351) et permette de se prononcer conformément au schéma d'évaluation au moyen d'un catalogue d'indicateurs (ATF 143 V 418) sur le droit de la recourante à une rente d'invalidité.</w:t>
      </w:r>
    </w:p>
    <w:p>
      <w:r>
        <w:rPr>
          <w:b/>
        </w:rPr>
        <w:t>E. 5.3</w:t>
      </w:r>
    </w:p>
    <w:p>
      <w:r>
        <w:t>Cela étant, il se justifie, en application de l'art. 61 al. 1 PA et comme le requiert au demeurant l'autorité inférieure, de renvoyer la cause à celle-ci pour qu'elle procède aux mesures d'instruction nécessaires, puis se prononce à nouveau sur le droit de la recourante à des prestations de l'assurance-invalidité. Singulièrement, il s'agira pour l'OAIE - cas échéant moyennant le concours de l'office AI cantonal (art. 40 ss RAI) - de mettre en oeuvre l'expertise qui s'impose sur le plan psychiatrique, laquelle se déroulera en Suisse et dans le respect de la jurisprudence du Tribunal fédéral relative aux affectations psychiques (ATF 141 V 281 ; 143 V 409 ; 143 V 418). Un tel renvoi s'impose d'autant plus que l'on se trouve ici en présence d'une assurée âgée de plus de 55 ans à qui une rente limitée dans le temps a été allouée. En pareilles circonstances, ce n'est en principe qu'à l'issue d'un examen concret de la situation de la personne assurée et de la mise en oeuvre d'éventuelles mesures de réadaptation sur le marché du travail que l'office AI peut définitivement statuer sur la suppression de la rente (ATF 145 V 209 ; TF 9C_277/2020 du 5 octobre 2020 consid. 2.2). Or, alors même que les Drs H._______, I._______ et J._______ (OAIE pces 10, 30, 38, 43 et 54) ont tous jugé nécessaire de mettre en oeuvre une réintégration professionnelle, l'autorité inférieure s'est totalement abstenue d'examiner concrètement la capacité de l'assurée à réintégrer par elle-même le marché de l'emploi. Le cas échéant, il s'agira donc pour l'autorité précédente d'examiner si la capacité de travail résiduelle médico-théorique permet d'inférer sans autres démarches une amélioration de la capacité de gain ou s'il est nécessaire au préalable de mettre en oeuvre une mesure d'observation professionnelle et/ou des mesures légales de réadaptation (s'agissant de la possibilité [ou non] d'octroyer des mesures de réadaptation à un assuré domicilié dans un pays de l'Union européenne, cf. TF 9C_846/2018 du 29 novembre 2019 consid. 5.3 ; cf. dans un contexte différent : ATF 145 V 266 et réf. cit. ; s'agissant des conditions au renvoi : ATF 137 V 210 consid. 4.4.1.4 ; TF 8C_633/2014 du 11 décembre 2014 consid. 3.2 et 3.3).</w:t>
      </w:r>
    </w:p>
    <w:p>
      <w:r>
        <w:rPr>
          <w:b/>
        </w:rPr>
        <w:t>E. 6</w:t>
      </w:r>
    </w:p>
    <w:p>
      <w:r>
        <w:t>Vu ce qui précède, le recours doit être admis et la décision du 4 septembre 2019 annulée. Aussi la cause est-elle renvoyée à l'autorité inférieure pour instruction complémentaire dans le sens des considérants et nouvelle décision.</w:t>
      </w:r>
    </w:p>
    <w:p>
      <w:r>
        <w:rPr>
          <w:b/>
        </w:rPr>
        <w:t>E. 7.1</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à la recourante, représentée par le Comité de protection des travailleurs frontaliers européens, à charge de l'OAIE, une indemnité à titre de dépens fixée à Fr. 800.- (frais compris; cf. art. 9 al. 1 let. c FITAF), ses interventions diverses s'étant, pour l'essentiel, limitées à transmettre des rapports médicaux.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