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C-5264/2009 vom 3. Februar 2010</w:t>
      </w:r>
    </w:p>
    <w:p>
      <w:r>
        <w:t>Bundesverwaltungsgericht, 2010-02-03, FR</w:t>
      </w:r>
    </w:p>
    <w:p>
      <w:r>
        <w:rPr>
          <w:b/>
        </w:rPr>
        <w:t xml:space="preserve">Quelle: </w:t>
      </w:r>
      <w:r>
        <w:t>https://mcp.opencaselaw.ch/entscheid/bvger_C-5264_2009</w:t>
      </w:r>
    </w:p>
    <w:p>
      <w:r>
        <w:t>FR: TAF C-5264/2009 du 3 février 2010</w:t>
      </w:r>
    </w:p>
    <w:p>
      <w:r>
        <w:t>IT: TAF C-5264/2009 del 3 febbraio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(cf. pce 1 TAF) et la forme prescrits (art. 60 LPGA et 52 PA), il est entré en matière sur le fond du recours.</w:t>
      </w:r>
    </w:p>
    <w:p>
      <w:r>
        <w:rPr>
          <w:b/>
        </w:rPr>
        <w:t>E. 3</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Conformément à cette jurisprudence, le Tribunal de céans peut se limiter à examiner si l'intéressée aurait eu droit à des prestations de l'assurance-invalidité à la date de la décision entreprise, soit le 10 juin 2009, marquant la limite dans le temps du pouvoir d'examen de l'autorité de recours.</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6.2</w:t>
      </w:r>
    </w:p>
    <w:p>
      <w:r>
        <w:t>L'art. 88a al. 2 du règlement sur l'assurance-invalidité du 17 janvier 1961 (RAI, RS 831.201) prévoit que, si l'incapacité de gain ou l'impotence d'un assuré s'aggrave, il y a lieu de considérer que ce changement accroît, le cas échéant, son droit aux prestations dès qu'il a duré trois mois sans interruption notable. Quant à l'art. 88bis al. 2 let. b RAI, il dispose que l'augmentation de la rente ou de l'allocation pour impotent prend effet, au plus tôt, dès le mois pour lequel la révision d'office était prévue.</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la recourante a bénéficié d'une demi-rente d'invalidité à compter du 1er mars 2001. L'autorité inférieure a ensuite, dans le cadre d'une première procédure de révision d'office, confirmé son droit à la demi-rente d'invalidité. La question de savoir si le degré d'invalidité a subi depuis lors une modification doit donc être jugée en comparant les faits tels qu'ils se présentaient à l'époque de la décision du 13 février 2002, date de la dernière décision entrée en force ayant examiné matériellement le droit à la rente, et ceux qui ont existé jusqu'au 10 juin 2009, date de la décision litigieuse.</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(ATF 125 V 352 consid. 3a et réf. cit.).</w:t>
      </w:r>
    </w:p>
    <w:p>
      <w:r>
        <w:rPr>
          <w:b/>
        </w:rPr>
        <w:t>E. 9.1</w:t>
      </w:r>
    </w:p>
    <w:p>
      <w:r>
        <w:t>En l'espèce, en 2002, le droit à la demi-rente avait été reconnu à la recourante en raison d'une spondarthrite séronégative débutante, de lombalgies basses, de sacralgies avec irradiation dans les membres inférieurs à caractère inflammatoire, ainsi que d'une sclérose bilatérale. L'Office s'était en effet essentiellement fondé sur les attestations du Dr Waldburger (cf. pces 7, 11, 13, 15 ss, 20 ss et 24) et avait retenu que la recourante était incapable d'exercer son activité à hauteur de 50% (pces 33 s.). Par communication du 7 juillet 2004, au terme d'une première procédure de révision d'office, l'OAIE avait diagnostiqué une spondarthrite séronégative avec spondylite ankylosante idiopathique, conclu à l'existence d'une incapacité de travail inchangée de 50% et dès lors confirmé le droit de la recourante à une demi-rente d'invalidité (pces 53 s.). Le rapport E 213 du 6 avril 2004, attestant d'une incapacité de travail totale de la recourante, avait alors été versé aux actes (pces 49 ss).</w:t>
      </w:r>
    </w:p>
    <w:p>
      <w:r>
        <w:rPr>
          <w:b/>
        </w:rPr>
        <w:t>E. 9.2</w:t>
      </w:r>
    </w:p>
    <w:p>
      <w:r>
        <w:t>Lors de la seconde procédure de révision initiée en septembre 2008, divers documents médicaux ont été produits. L'autorité inférieure, se fondant sur les prises de position du Dr Ribordy de son service médical (pces 66, 85) a alors par décision du 10 juin 2009 supprimé le droit à une demi-rente d'invalidité dont bénéficiait la recourante (pce 87). L'autorité inférieure a, dans sa réponse au recours, renoncé à se déterminer sur l'issue du recours. La recourante a, pour sa part, conclu à l'admission du recours et à l'annulation de la décision attaquée.</w:t>
      </w:r>
    </w:p>
    <w:p>
      <w:r>
        <w:rPr>
          <w:b/>
        </w:rPr>
        <w:t>E. 9.3</w:t>
      </w:r>
    </w:p>
    <w:p>
      <w:r>
        <w:t>En l'espèce, tous les médecins sollicités ont abouti à des diagnostics identiques ou similaires, en 2002 lors de l'octroi initial de la demi-rente d'invalidité, en 2004 au terme de la première procédure de révision d'office et en 2008/2009 dans le cadre de la seconde. Le Tribunal de céans retient dès lors que la recourante a souffert et souffre encore à ce jour essentiellement d'une spondylite ankylosante idiopathique, d'une discopathie, de lombosacralgies, ainsi que d'une sclérose bilatiérale. L'appréciation de l'impact qu'ont ces affections sur la capacité de travail de la recourante est par contre controversée. Certes les auteurs du rapport E 213 du 15 décembre 2008 ont estimé que la recourante était à nouveau capable d'exercer sa profession habituelle d'aide-infirmière à plein temps; il convient de souligner cependant que ceux-ci ont explicitement nuancé leur appréciation, en précisant que si les symptômes devenaient aigus il faudrait alors recourir à des périodes d'incapacité temporaire (cf. pce 63). La Dresse Costa, par contre, dans son attestation du 1er juillet 2009, a clairement conclu à une incapacité de travail complète de l'intéressée dans sa profession habituelle et ainsi exclu l'éventualité d'une amélioration (pce 32 jointe au recours); le Dr Lehmann a même émis l'hypothèse d'une péjoration de l'état de santé de sa patiente (cf. pce 99). Il ressort au demeurant du certificat du 3 juillet 2009 du Dr Rocha que l'assurée est considérablement diminuée dans l'exercice de ses activités quotidiennes (pce 33 jointe au recours). Enfin et surtout, le service médical de l'autorité inférieure, interpellé sur la documentation médicale produite par la recourante en procédure de recours, a expressément exclu une amélioration de la situation clinique de la recourante; ledit service a ce faisant remis en cause ses précédentes conclusions, précisément celles qui avaient fondé la suppression de demi-rente d'invalidité (prise de position du 16 novembre 2009 du Dr Lehmann, pce 99). Il est le lieu de rappeler que l'OAIE, dans le cadre de la présente procédure de recours a, ensuite de l'avis de son service médical, renoncé à se déterminer sur l'issue du recours (pce 14 TAF). Le Tribunal de céans estime, eu égard à ce qui précède, que sur le vu de l'ensemble de la documentation médicale figurant à ce jour au dossier on ne saurait raisonnablement conclure à une amélioration de l'état de santé de l'assurée. Le droit de la recourante à la demi-rente d'invalidité ne peut donc faire l'objet d'une révision au sens de l'art. 17 LPGA.</w:t>
      </w:r>
    </w:p>
    <w:p>
      <w:r>
        <w:rPr>
          <w:b/>
        </w:rPr>
        <w:t>E. 10.1</w:t>
      </w:r>
    </w:p>
    <w:p>
      <w:r>
        <w:t>Il reste, dans la présente occurrence, à vérifier qu'en 2002 l'OAI-FR n'a pas arbitrairement octroyé la demi-rente d'invalidité à la recourante, partant, à examiner s'il ne convient pas de reconsidérer les décisions des 13 février et 15 mars 2002 initialement rendues par cette autorité.</w:t>
      </w:r>
    </w:p>
    <w:p>
      <w:r>
        <w:rPr>
          <w:b/>
        </w:rPr>
        <w:t>E. 10.2</w:t>
      </w:r>
    </w:p>
    <w:p>
      <w:r>
        <w:t>L'art. 53 al. 2 LPGA prévoit que l'assureur peut revenir sur les décisions ou les décisions sur opposition formellement passées en force lorsqu'elles sont manifestement erronées et que leur rectification revêt une importance notable. En l'espèce, il est constant que les décisions des 13 février et 15 mars 2002 n'ont pas fait l'objet d'un contrôle judiciaire et qu'il y a un intérêt à leur rectification, dans la mesure où, si la reconsidération devait être admise, la demi-rente d'invalidité dont bénéficiait la recourante devrait alors être supprimée. Selon la jurisprudence, pour juger s'il est admissible de reconsidérer pour le motif qu'une décision est sans doute erronée, il faut se fonder sur la situation juridique existant au moment où cette décision est rendue, compte tenu de la pratique en vigueur à l'époque (ATF 119 V 479 consid. 1b/cc et réf. cit.). Par le biais de la reconsidération, on corrigera une application initiale erronée du droit, de même qu'une constatation erronée des faits (ATF 117 V 17 consid. 2c,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TFA du 6 mai 2003, I 375/02 consid. 2.2).</w:t>
      </w:r>
    </w:p>
    <w:p>
      <w:r>
        <w:rPr>
          <w:b/>
        </w:rPr>
        <w:t>E. 10.3</w:t>
      </w:r>
    </w:p>
    <w:p>
      <w:r>
        <w:t>En l'espèce, l'OAI-FR s'était essentiellement fondé sur les rapports médicaux du Dr Waldburger, lequel avait à réitérées reprises exposé que sa patiente était à 50% incapable de travailler dans son activité habituelle. Ce médecin avait en outre précisé que l'exercice d'une activité de substitution n'était pas exigible de la recourante en raison de sa faible scolarité et de son manque d'endurance dans toute profession manuelle (pces 7, 11, 13, 15 ss, 20 ss, 24). Il est le lieu de relever au surplus que, dans le cadre de la première procédure de révision d'office initiée en septembre 2002, le rapport E 213 du 6 avril 2004, retenant une incapacité de travail totale de l'intéressée, a été versé aux actes (pces 49 à 51) et que le service médical de l'OAIE avait, sur cette base, conclu à une incapacité de travail inchangée de 50% (pce 53). Partant, dans la mesure où elles se sont appuyées sur cette documentation, la décision d'octroi initiale ne saurait être considérée comme manifestement erronée. Le Dr Lehmann du service médical de l'OAIE a d'ailleurs, dans sa prise de position du 16 novembre 2009 (pce 99), expressément exclu une erreur de jugement manifeste dans le cadre de la procédure d'octroi de rente et l'Office, dans la décision portée céans et sa réponse au recours, n'a pas avancé cette argumentation.</w:t>
      </w:r>
    </w:p>
    <w:p>
      <w:r>
        <w:rPr>
          <w:b/>
        </w:rPr>
        <w:t>E. 10.4</w:t>
      </w:r>
    </w:p>
    <w:p>
      <w:r>
        <w:t>Les décisions des 13 février et 15 mars 2002 rendues initialement par l'OAI-FR ne peuvent donc pas faire l'objet d'une reconsidération au sens de l'art. 53 al. 2 LPGA, ce qui, du reste, n'est pas avancé par l'OAIE. Le recours doit par conséquent être admis et la décision du 10 juin 2009 de l'autorité inférieure réformé en ce sens que l'intéressée a droit à une demi-rente d'invalidité après le 1er août 2009.</w:t>
      </w:r>
    </w:p>
    <w:p>
      <w:r>
        <w:rPr>
          <w:b/>
        </w:rPr>
        <w:t>E. 11.1</w:t>
      </w:r>
    </w:p>
    <w:p>
      <w:r>
        <w:t>Vu l'issue du litige, il n'est pas perçu de frais de procédure (art. 63 al. 2 PA).</w:t>
      </w:r>
    </w:p>
    <w:p>
      <w:r>
        <w:rPr>
          <w:b/>
        </w:rPr>
        <w:t>E. 11.2</w:t>
      </w:r>
    </w:p>
    <w:p>
      <w:r>
        <w:t>L'art. 7 al. 1er du règlement du 21 février 2008 concernant les frais, dépens et indemnités fixés par le Tribunal administratif fédéral (FITAF, RS 173.320.2) permet au Tribunal d'allouer à la partie ayant obtenu gain de cause une indemnité pour les frais nécessaires causés par le litige. Les honoraires du représentant sont fixés, selon l'appréciation de l'autorité, en raison de l'importance et de la difficulté du litige, ainsi que d'après le travail et le temps que le représentant a dû y consacrer (art. 10 al. 1 FITAF). Le tarif horaire des avocats est de Fr. 200.- au moins et de Fr. 400.- au plus (art. 10 al. 2 FITAF). En cas de contestations pécuniaires, les honoraires d'avocat peuvent être augmentés dans une mesure appropriée (art. 10 al. 3 FITAF). La recourante, par écriture ampliative du 19 janvier 2009, a requis l'octroi d'une indemnité de dépens de Fr. 9'633.80. Le travail du mandataire de la recourante a essentiellement consisté dans la rédaction d'un recours de 21 pages accompagné d'un bordereau de pièces et d'une réplique de 2 pages (pces 1, 2 et 17 TAF). Il s'agit en l'espèce d'une procédure simple, le litige portant principalement sur l'appréciation de rapports médicaux et l'établissement de faits pertinents. L'état de faits et les questions juridiques qui se sont posées ne sont pas d'une grande complexité. Le dossier de l'autorité inférieure concernant la recourante, constitué de 99 pièces, est de taille moyenne. Par ailleurs, le procès en matière d'assurances sociales est gouverné par la maxime inquisitoire, ce qui, dans de nombreux cas, est de nature à faciliter la tâche de l'avocat (ATF 119 V 48 consid. 4a; arrêt I 30/03 du 22 mai 2003 du Tribunal fédéral des assurances, consid. 6.2). En outre, selon la pratique du Tribunal fédéral des assurances qu'ont repris l'ancienne Commission fédérale de recours et le Tribunal administratif fédéral, lors d'un procès en matière d'assurances sociales devant une autorité judiciaire, l'indemnité allouée aux parties représentées par un avocat doit se monter en principe à Fr. 2'000/2'500.-. Il convient de relever enfin que l'art. 10 al. 3 FITAF relatif à l'augmentation des honoraires d'avocat se saurait trouver application en l'occurrence, dans la mesure où la présente procédure ne porte pas sur une prestation pécuniaire. Au vu de ce qui précède, le Tribunal estime que l'importance et la complexité que présente le cas ne justifie pas que l'on déroge à la pratique et alloue, partant, à la partie recourante une indemnité à titre de dépens de Fr. 2'500.- à charge de l'OAIE. Ce montant n'est pas soumis à la TVA (arrêt I 30/03 du Tribunal fédéral consid. 6.4 publié dans SVR 2003 IV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